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2"/>
          <w:szCs w:val="22"/>
        </w:rPr>
        <w:id w:val="-728923275"/>
        <w:docPartObj>
          <w:docPartGallery w:val="Cover Pages"/>
          <w:docPartUnique/>
        </w:docPartObj>
      </w:sdtPr>
      <w:sdtEndPr>
        <w:rPr>
          <w:b/>
          <w:caps/>
          <w:lang w:val="en-US"/>
        </w:rPr>
      </w:sdtEndPr>
      <w:sdtContent>
        <w:bookmarkStart w:id="0" w:name="_Ref500247104" w:displacedByCustomXml="prev"/>
        <w:bookmarkEnd w:id="0" w:displacedByCustomXml="prev"/>
        <w:p w14:paraId="43E2A5F0" w14:textId="30C07101" w:rsidR="00CD2623" w:rsidRPr="005206CA" w:rsidRDefault="004B58FA" w:rsidP="00F56FD2">
          <w:pPr>
            <w:pStyle w:val="Footnote"/>
            <w:tabs>
              <w:tab w:val="left" w:pos="871"/>
            </w:tabs>
            <w:rPr>
              <w:b/>
              <w:color w:val="159DCE"/>
              <w:sz w:val="34"/>
              <w:szCs w:val="34"/>
            </w:rPr>
          </w:pPr>
          <w:r w:rsidRPr="005206CA">
            <w:rPr>
              <w:b/>
              <w:noProof/>
              <w:color w:val="159DCE"/>
              <w:sz w:val="34"/>
              <w:szCs w:val="34"/>
              <w:lang w:eastAsia="en-AU"/>
            </w:rPr>
            <w:drawing>
              <wp:anchor distT="0" distB="0" distL="114300" distR="114300" simplePos="0" relativeHeight="251658240" behindDoc="0" locked="0" layoutInCell="1" allowOverlap="1" wp14:anchorId="28311972" wp14:editId="7EA9E24F">
                <wp:simplePos x="0" y="0"/>
                <wp:positionH relativeFrom="column">
                  <wp:posOffset>-17203</wp:posOffset>
                </wp:positionH>
                <wp:positionV relativeFrom="paragraph">
                  <wp:posOffset>-266585</wp:posOffset>
                </wp:positionV>
                <wp:extent cx="2109355" cy="631543"/>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A-logo-100-trans.png"/>
                        <pic:cNvPicPr/>
                      </pic:nvPicPr>
                      <pic:blipFill>
                        <a:blip r:embed="rId13">
                          <a:extLst>
                            <a:ext uri="{28A0092B-C50C-407E-A947-70E740481C1C}">
                              <a14:useLocalDpi xmlns:a14="http://schemas.microsoft.com/office/drawing/2010/main" val="0"/>
                            </a:ext>
                          </a:extLst>
                        </a:blip>
                        <a:stretch>
                          <a:fillRect/>
                        </a:stretch>
                      </pic:blipFill>
                      <pic:spPr>
                        <a:xfrm>
                          <a:off x="0" y="0"/>
                          <a:ext cx="2120363" cy="6348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8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tblGrid>
          <w:tr w:rsidR="00204819" w:rsidRPr="005206CA" w14:paraId="44BC3EC0" w14:textId="77777777" w:rsidTr="00576CD5">
            <w:trPr>
              <w:cnfStyle w:val="100000000000" w:firstRow="1" w:lastRow="0" w:firstColumn="0" w:lastColumn="0" w:oddVBand="0" w:evenVBand="0" w:oddHBand="0" w:evenHBand="0" w:firstRowFirstColumn="0" w:firstRowLastColumn="0" w:lastRowFirstColumn="0" w:lastRowLastColumn="0"/>
            </w:trPr>
            <w:tc>
              <w:tcPr>
                <w:tcW w:w="8050" w:type="dxa"/>
              </w:tcPr>
              <w:p w14:paraId="599503B6" w14:textId="44A022A8" w:rsidR="00204819" w:rsidRPr="005206CA" w:rsidRDefault="00204819" w:rsidP="002F0CB5">
                <w:pPr>
                  <w:pStyle w:val="Footnote"/>
                  <w:tabs>
                    <w:tab w:val="right" w:pos="6804"/>
                    <w:tab w:val="right" w:pos="7938"/>
                  </w:tabs>
                  <w:spacing w:before="1400"/>
                  <w:rPr>
                    <w:b/>
                    <w:color w:val="159DCE"/>
                    <w:sz w:val="34"/>
                    <w:szCs w:val="34"/>
                  </w:rPr>
                </w:pPr>
                <w:r w:rsidRPr="005206CA">
                  <w:rPr>
                    <w:b/>
                    <w:color w:val="159DCE"/>
                    <w:sz w:val="34"/>
                    <w:szCs w:val="34"/>
                  </w:rPr>
                  <w:t>REVIEW OF THE EMISSIONS REDUCTION FUND</w:t>
                </w:r>
              </w:p>
            </w:tc>
          </w:tr>
          <w:tr w:rsidR="00204819" w:rsidRPr="005206CA" w14:paraId="57B94B79" w14:textId="77777777" w:rsidTr="00576CD5">
            <w:trPr>
              <w:cnfStyle w:val="000000100000" w:firstRow="0" w:lastRow="0" w:firstColumn="0" w:lastColumn="0" w:oddVBand="0" w:evenVBand="0" w:oddHBand="1" w:evenHBand="0" w:firstRowFirstColumn="0" w:firstRowLastColumn="0" w:lastRowFirstColumn="0" w:lastRowLastColumn="0"/>
              <w:trHeight w:val="365"/>
            </w:trPr>
            <w:tc>
              <w:tcPr>
                <w:tcW w:w="8050" w:type="dxa"/>
              </w:tcPr>
              <w:p w14:paraId="04C0193B" w14:textId="72FAFCE3" w:rsidR="00204819" w:rsidRPr="005206CA" w:rsidRDefault="00204819" w:rsidP="002F0CB5">
                <w:pPr>
                  <w:pStyle w:val="Footnote"/>
                  <w:tabs>
                    <w:tab w:val="right" w:pos="6804"/>
                    <w:tab w:val="right" w:pos="7938"/>
                  </w:tabs>
                  <w:jc w:val="right"/>
                  <w:rPr>
                    <w:b/>
                    <w:color w:val="159DCE"/>
                    <w:sz w:val="34"/>
                    <w:szCs w:val="34"/>
                  </w:rPr>
                </w:pPr>
                <w:r w:rsidRPr="005206CA">
                  <w:rPr>
                    <w:b/>
                    <w:color w:val="000000" w:themeColor="text1"/>
                    <w:sz w:val="24"/>
                    <w:szCs w:val="24"/>
                  </w:rPr>
                  <w:t>DECEMBER 2017</w:t>
                </w:r>
              </w:p>
            </w:tc>
          </w:tr>
        </w:tbl>
        <w:p w14:paraId="3A594D19" w14:textId="32CDB7B6" w:rsidR="00AD7B14" w:rsidRPr="005206CA" w:rsidRDefault="00CD2623">
          <w:pPr>
            <w:spacing w:after="0" w:line="240" w:lineRule="auto"/>
            <w:rPr>
              <w:rFonts w:asciiTheme="majorHAnsi" w:eastAsiaTheme="majorEastAsia" w:hAnsiTheme="majorHAnsi" w:cstheme="majorBidi"/>
              <w:b/>
              <w:caps/>
              <w:color w:val="4F81BD" w:themeColor="accent1"/>
              <w:sz w:val="88"/>
              <w:szCs w:val="88"/>
              <w:lang w:val="en-US"/>
            </w:rPr>
          </w:pPr>
          <w:r w:rsidRPr="005206CA">
            <w:rPr>
              <w:rFonts w:asciiTheme="majorHAnsi" w:eastAsiaTheme="majorEastAsia" w:hAnsiTheme="majorHAnsi" w:cstheme="majorBidi"/>
              <w:b/>
              <w:caps/>
              <w:color w:val="4F81BD" w:themeColor="accent1"/>
              <w:sz w:val="88"/>
              <w:szCs w:val="88"/>
              <w:lang w:val="en-US"/>
            </w:rPr>
            <w:br w:type="page"/>
          </w:r>
        </w:p>
        <w:p w14:paraId="300DF80D" w14:textId="3007872E" w:rsidR="009712EF" w:rsidRPr="005206CA" w:rsidRDefault="00517703" w:rsidP="009712EF">
          <w:pPr>
            <w:pStyle w:val="Heading1nonumber"/>
            <w:rPr>
              <w:lang w:val="en-US"/>
            </w:rPr>
          </w:pPr>
          <w:bookmarkStart w:id="1" w:name="_Toc500251060"/>
          <w:bookmarkStart w:id="2" w:name="_Toc500251335"/>
          <w:bookmarkStart w:id="3" w:name="_Toc500253932"/>
          <w:bookmarkStart w:id="4" w:name="_Toc500401439"/>
          <w:bookmarkStart w:id="5" w:name="_Toc500490924"/>
          <w:bookmarkStart w:id="6" w:name="_Toc500512866"/>
          <w:bookmarkStart w:id="7" w:name="_Toc500514121"/>
          <w:bookmarkStart w:id="8" w:name="_Toc500516178"/>
          <w:bookmarkStart w:id="9" w:name="_Toc497819446"/>
          <w:bookmarkStart w:id="10" w:name="_Toc498691510"/>
          <w:bookmarkStart w:id="11" w:name="_Toc499043691"/>
          <w:bookmarkStart w:id="12" w:name="_Toc499051712"/>
          <w:r w:rsidRPr="005206CA">
            <w:rPr>
              <w:lang w:val="en-US"/>
            </w:rPr>
            <w:lastRenderedPageBreak/>
            <w:t>Acknowledgements</w:t>
          </w:r>
          <w:bookmarkEnd w:id="1"/>
          <w:bookmarkEnd w:id="2"/>
          <w:bookmarkEnd w:id="3"/>
          <w:bookmarkEnd w:id="4"/>
          <w:bookmarkEnd w:id="5"/>
          <w:bookmarkEnd w:id="6"/>
          <w:bookmarkEnd w:id="7"/>
          <w:bookmarkEnd w:id="8"/>
        </w:p>
        <w:p w14:paraId="2BAAA2BF" w14:textId="77777777" w:rsidR="009712EF" w:rsidRPr="005206CA" w:rsidRDefault="009712EF" w:rsidP="009712EF">
          <w:r w:rsidRPr="005206CA">
            <w:t xml:space="preserve">The Authority would like to thank the many individuals and organisations that contributed time and expertise to this review. These contributions have improved the quality of the review and provided evidence to help inform the Authority’s recommendations. </w:t>
          </w:r>
        </w:p>
        <w:p w14:paraId="3EB8CBE2" w14:textId="77777777" w:rsidR="009712EF" w:rsidRPr="005206CA" w:rsidRDefault="009712EF" w:rsidP="009712EF">
          <w:r w:rsidRPr="005206CA">
            <w:t>The Clean Energy Regulator (CER) and the Australian Government Department of the Environment and Energy also provided technical expertise to the Authority in its preparation of this review. The views in this report are the Authority’s own and should not be taken as the views or positions of the CER or the Department.</w:t>
          </w:r>
        </w:p>
        <w:p w14:paraId="0E497635" w14:textId="77777777" w:rsidR="009712EF" w:rsidRPr="005206CA" w:rsidRDefault="009712EF" w:rsidP="009712EF">
          <w:r w:rsidRPr="005206CA">
            <w:t xml:space="preserve">The Authority would also like to thank the many stakeholders who provided submissions to this review and who participated in consultations. </w:t>
          </w:r>
        </w:p>
        <w:p w14:paraId="6202FB04" w14:textId="77777777" w:rsidR="0026211E" w:rsidRDefault="0026211E" w:rsidP="0026211E"/>
        <w:p w14:paraId="2764AF68" w14:textId="77777777" w:rsidR="0026211E" w:rsidRDefault="0026211E" w:rsidP="0026211E"/>
        <w:p w14:paraId="5CA9F249" w14:textId="77777777" w:rsidR="0026211E" w:rsidRDefault="0026211E" w:rsidP="0026211E"/>
        <w:p w14:paraId="7EC0BBA0" w14:textId="77777777" w:rsidR="0026211E" w:rsidRDefault="0026211E" w:rsidP="0026211E"/>
        <w:p w14:paraId="42EAD28D" w14:textId="77777777" w:rsidR="0026211E" w:rsidRPr="00B240C0" w:rsidRDefault="0026211E" w:rsidP="0026211E">
          <w:pPr>
            <w:pStyle w:val="BodyText"/>
            <w:rPr>
              <w:color w:val="auto"/>
            </w:rPr>
          </w:pPr>
          <w:r w:rsidRPr="00B240C0">
            <w:rPr>
              <w:color w:val="auto"/>
            </w:rPr>
            <w:t>Published by the Climate Change Authority</w:t>
          </w:r>
        </w:p>
        <w:p w14:paraId="459C3494" w14:textId="77777777" w:rsidR="0026211E" w:rsidRPr="00B240C0" w:rsidRDefault="0026211E" w:rsidP="0026211E">
          <w:pPr>
            <w:pStyle w:val="BodyText"/>
            <w:rPr>
              <w:color w:val="auto"/>
            </w:rPr>
          </w:pPr>
          <w:r w:rsidRPr="00B240C0">
            <w:rPr>
              <w:color w:val="auto"/>
            </w:rPr>
            <w:t>www.climatechangeauthority.gov.au</w:t>
          </w:r>
        </w:p>
        <w:p w14:paraId="1499E4F0" w14:textId="77777777" w:rsidR="0026211E" w:rsidRPr="00B240C0" w:rsidRDefault="0026211E" w:rsidP="0026211E">
          <w:pPr>
            <w:pStyle w:val="BodyText"/>
            <w:rPr>
              <w:color w:val="auto"/>
            </w:rPr>
          </w:pPr>
          <w:r w:rsidRPr="00B240C0">
            <w:rPr>
              <w:color w:val="auto"/>
            </w:rPr>
            <w:t xml:space="preserve">© Commonwealth of Australia </w:t>
          </w:r>
          <w:r>
            <w:rPr>
              <w:noProof/>
              <w:color w:val="auto"/>
            </w:rPr>
            <w:t>2017</w:t>
          </w:r>
        </w:p>
        <w:p w14:paraId="6EF0967D" w14:textId="77777777" w:rsidR="0026211E" w:rsidRPr="00B240C0" w:rsidRDefault="0026211E" w:rsidP="0026211E">
          <w:pPr>
            <w:pStyle w:val="BodyText"/>
            <w:rPr>
              <w:color w:val="auto"/>
            </w:rPr>
          </w:pPr>
          <w:r w:rsidRPr="00B240C0">
            <w:rPr>
              <w:color w:val="auto"/>
            </w:rPr>
            <w:t xml:space="preserve">This work is licensed under the Creative Commons Attribution 3.0 Australia Licence. To view a copy of this license, visit </w:t>
          </w:r>
          <w:hyperlink r:id="rId14" w:history="1">
            <w:r w:rsidRPr="00E62641">
              <w:rPr>
                <w:rStyle w:val="Hyperlink"/>
                <w:sz w:val="21"/>
              </w:rPr>
              <w:t>http://creativecommons.org/licenses/by/3.0/au</w:t>
            </w:r>
          </w:hyperlink>
        </w:p>
        <w:p w14:paraId="1ECA284E" w14:textId="77777777" w:rsidR="0026211E" w:rsidRPr="00B240C0" w:rsidRDefault="0026211E" w:rsidP="0026211E">
          <w:pPr>
            <w:pStyle w:val="BodyText"/>
            <w:rPr>
              <w:color w:val="auto"/>
            </w:rPr>
          </w:pPr>
          <w:r w:rsidRPr="00B240C0">
            <w:rPr>
              <w:color w:val="auto"/>
            </w:rPr>
            <w:t>The Climate Change Authority asserts the right to be recognised as author of the original material in the following manner:</w:t>
          </w:r>
        </w:p>
        <w:p w14:paraId="4C790B95" w14:textId="77777777" w:rsidR="0026211E" w:rsidRPr="00E44A68" w:rsidRDefault="0026211E" w:rsidP="0026211E">
          <w:pPr>
            <w:pStyle w:val="CCAtable"/>
          </w:pPr>
          <w:r w:rsidRPr="00E44A68">
            <w:rPr>
              <w:noProof/>
              <w:lang w:eastAsia="en-AU"/>
            </w:rPr>
            <w:drawing>
              <wp:inline distT="0" distB="0" distL="0" distR="0" wp14:anchorId="7739D4E5" wp14:editId="00A9510D">
                <wp:extent cx="931653" cy="3259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1653" cy="325963"/>
                        </a:xfrm>
                        <a:prstGeom prst="rect">
                          <a:avLst/>
                        </a:prstGeom>
                      </pic:spPr>
                    </pic:pic>
                  </a:graphicData>
                </a:graphic>
              </wp:inline>
            </w:drawing>
          </w:r>
          <w:r w:rsidRPr="00E44A68">
            <w:t xml:space="preserve"> </w:t>
          </w:r>
          <w:r w:rsidRPr="00E5191B">
            <w:rPr>
              <w:noProof/>
              <w:lang w:eastAsia="en-AU"/>
            </w:rPr>
            <w:drawing>
              <wp:inline distT="0" distB="0" distL="0" distR="0" wp14:anchorId="7A971CF0" wp14:editId="123E0C64">
                <wp:extent cx="813818" cy="152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14:paraId="5ABE2566" w14:textId="77777777" w:rsidR="0026211E" w:rsidRPr="00B240C0" w:rsidRDefault="0026211E" w:rsidP="0026211E">
          <w:pPr>
            <w:pStyle w:val="BodyText"/>
            <w:rPr>
              <w:color w:val="auto"/>
            </w:rPr>
          </w:pPr>
          <w:r w:rsidRPr="00B240C0">
            <w:rPr>
              <w:color w:val="auto"/>
            </w:rPr>
            <w:t xml:space="preserve">© Commonwealth of Australia (Climate Change Authority) </w:t>
          </w:r>
          <w:r>
            <w:rPr>
              <w:noProof/>
              <w:color w:val="auto"/>
            </w:rPr>
            <w:t>2017</w:t>
          </w:r>
          <w:r w:rsidRPr="00B240C0">
            <w:rPr>
              <w:color w:val="auto"/>
            </w:rPr>
            <w:t>.</w:t>
          </w:r>
        </w:p>
        <w:p w14:paraId="4BADA4D4" w14:textId="77777777" w:rsidR="0026211E" w:rsidRPr="00B240C0" w:rsidRDefault="0026211E" w:rsidP="0026211E">
          <w:pPr>
            <w:pStyle w:val="BodyText"/>
            <w:rPr>
              <w:color w:val="auto"/>
            </w:rPr>
          </w:pPr>
          <w:r w:rsidRPr="00B240C0">
            <w:rPr>
              <w:color w:val="auto"/>
            </w:rPr>
            <w:t>IMPORTANT NOTICE – PLEASE READ</w:t>
          </w:r>
        </w:p>
        <w:p w14:paraId="5F992CA2" w14:textId="77777777" w:rsidR="0026211E" w:rsidRDefault="0026211E" w:rsidP="0026211E">
          <w:pPr>
            <w:pStyle w:val="BodyText"/>
            <w:rPr>
              <w:color w:val="auto"/>
            </w:rPr>
          </w:pPr>
          <w:r w:rsidRPr="00B240C0">
            <w:rPr>
              <w:color w:val="auto"/>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4947F7DF" w14:textId="716E183D" w:rsidR="009712EF" w:rsidRPr="005206CA" w:rsidRDefault="0026211E" w:rsidP="0026211E">
          <w:pPr>
            <w:rPr>
              <w:lang w:val="en-US"/>
            </w:rPr>
          </w:pPr>
          <w:r w:rsidRPr="00822B2F">
            <w:t>Readers should note that a minor revision was made to Figure 4 on 16 February 2018 to correct an error in the labelling of the lines. This revision does not affect the conclusions</w:t>
          </w:r>
          <w:r>
            <w:t xml:space="preserve"> of the report.</w:t>
          </w:r>
        </w:p>
        <w:p w14:paraId="0EEF81BD" w14:textId="77777777" w:rsidR="00450262" w:rsidRPr="005206CA" w:rsidRDefault="00450262" w:rsidP="00450262">
          <w:pPr>
            <w:pStyle w:val="Heading1nonumber"/>
            <w:rPr>
              <w:lang w:val="en-US"/>
            </w:rPr>
          </w:pPr>
          <w:bookmarkStart w:id="13" w:name="_Toc500251061"/>
          <w:bookmarkStart w:id="14" w:name="_Toc500251336"/>
          <w:bookmarkStart w:id="15" w:name="_Toc500253933"/>
          <w:bookmarkStart w:id="16" w:name="_Toc500401440"/>
          <w:bookmarkStart w:id="17" w:name="_Toc500490925"/>
          <w:bookmarkStart w:id="18" w:name="_Toc500512867"/>
          <w:bookmarkStart w:id="19" w:name="_Toc500514122"/>
          <w:bookmarkStart w:id="20" w:name="_Toc500516179"/>
          <w:r w:rsidRPr="005206CA">
            <w:rPr>
              <w:lang w:val="en-US"/>
            </w:rPr>
            <w:lastRenderedPageBreak/>
            <w:t>Contents</w:t>
          </w:r>
          <w:bookmarkEnd w:id="9"/>
          <w:bookmarkEnd w:id="10"/>
          <w:bookmarkEnd w:id="11"/>
          <w:bookmarkEnd w:id="12"/>
          <w:bookmarkEnd w:id="13"/>
          <w:bookmarkEnd w:id="14"/>
          <w:bookmarkEnd w:id="15"/>
          <w:bookmarkEnd w:id="16"/>
          <w:bookmarkEnd w:id="17"/>
          <w:bookmarkEnd w:id="18"/>
          <w:bookmarkEnd w:id="19"/>
          <w:bookmarkEnd w:id="20"/>
        </w:p>
        <w:p w14:paraId="310C357C" w14:textId="5F6114CE" w:rsidR="00942D91" w:rsidRDefault="00AD7B14">
          <w:pPr>
            <w:pStyle w:val="TOC1"/>
            <w:rPr>
              <w:rFonts w:asciiTheme="minorHAnsi" w:eastAsiaTheme="minorEastAsia" w:hAnsiTheme="minorHAnsi" w:cstheme="minorBidi"/>
              <w:b w:val="0"/>
              <w:bCs w:val="0"/>
              <w:caps w:val="0"/>
              <w:noProof/>
              <w:color w:val="auto"/>
              <w:szCs w:val="22"/>
              <w:lang w:eastAsia="en-AU"/>
            </w:rPr>
          </w:pPr>
          <w:r w:rsidRPr="005206CA">
            <w:rPr>
              <w:rFonts w:asciiTheme="majorHAnsi" w:eastAsiaTheme="majorEastAsia" w:hAnsiTheme="majorHAnsi" w:cstheme="majorBidi"/>
              <w:color w:val="4F81BD" w:themeColor="accent1"/>
              <w:sz w:val="88"/>
              <w:szCs w:val="88"/>
              <w:lang w:val="en-US"/>
            </w:rPr>
            <w:fldChar w:fldCharType="begin"/>
          </w:r>
          <w:r w:rsidRPr="005206CA">
            <w:rPr>
              <w:rFonts w:asciiTheme="majorHAnsi" w:eastAsiaTheme="majorEastAsia" w:hAnsiTheme="majorHAnsi" w:cstheme="majorBidi"/>
              <w:color w:val="4F81BD" w:themeColor="accent1"/>
              <w:sz w:val="88"/>
              <w:szCs w:val="88"/>
              <w:lang w:val="en-US"/>
            </w:rPr>
            <w:instrText xml:space="preserve"> TOC \o "1-2" \h \z \u </w:instrText>
          </w:r>
          <w:r w:rsidRPr="005206CA">
            <w:rPr>
              <w:rFonts w:asciiTheme="majorHAnsi" w:eastAsiaTheme="majorEastAsia" w:hAnsiTheme="majorHAnsi" w:cstheme="majorBidi"/>
              <w:color w:val="4F81BD" w:themeColor="accent1"/>
              <w:sz w:val="88"/>
              <w:szCs w:val="88"/>
              <w:lang w:val="en-US"/>
            </w:rPr>
            <w:fldChar w:fldCharType="separate"/>
          </w:r>
          <w:hyperlink w:anchor="_Toc500516178" w:history="1">
            <w:r w:rsidR="00942D91" w:rsidRPr="00947BA5">
              <w:rPr>
                <w:rStyle w:val="Hyperlink"/>
                <w:noProof/>
                <w:lang w:val="en-US"/>
              </w:rPr>
              <w:t>Acknowledgements</w:t>
            </w:r>
            <w:r w:rsidR="00942D91">
              <w:rPr>
                <w:noProof/>
                <w:webHidden/>
              </w:rPr>
              <w:tab/>
            </w:r>
            <w:r w:rsidR="00942D91">
              <w:rPr>
                <w:noProof/>
                <w:webHidden/>
              </w:rPr>
              <w:fldChar w:fldCharType="begin"/>
            </w:r>
            <w:r w:rsidR="00942D91">
              <w:rPr>
                <w:noProof/>
                <w:webHidden/>
              </w:rPr>
              <w:instrText xml:space="preserve"> PAGEREF _Toc500516178 \h </w:instrText>
            </w:r>
            <w:r w:rsidR="00942D91">
              <w:rPr>
                <w:noProof/>
                <w:webHidden/>
              </w:rPr>
            </w:r>
            <w:r w:rsidR="00942D91">
              <w:rPr>
                <w:noProof/>
                <w:webHidden/>
              </w:rPr>
              <w:fldChar w:fldCharType="separate"/>
            </w:r>
            <w:r w:rsidR="00FA2002">
              <w:rPr>
                <w:noProof/>
                <w:webHidden/>
              </w:rPr>
              <w:t>2</w:t>
            </w:r>
            <w:r w:rsidR="00942D91">
              <w:rPr>
                <w:noProof/>
                <w:webHidden/>
              </w:rPr>
              <w:fldChar w:fldCharType="end"/>
            </w:r>
          </w:hyperlink>
        </w:p>
        <w:p w14:paraId="3C6C97AF" w14:textId="1DE41C0D"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79" w:history="1">
            <w:r w:rsidR="00942D91" w:rsidRPr="00947BA5">
              <w:rPr>
                <w:rStyle w:val="Hyperlink"/>
                <w:noProof/>
                <w:lang w:val="en-US"/>
              </w:rPr>
              <w:t>Contents</w:t>
            </w:r>
            <w:r w:rsidR="00942D91">
              <w:rPr>
                <w:noProof/>
                <w:webHidden/>
              </w:rPr>
              <w:tab/>
            </w:r>
            <w:r w:rsidR="00D03260">
              <w:rPr>
                <w:noProof/>
                <w:webHidden/>
              </w:rPr>
              <w:tab/>
            </w:r>
            <w:r w:rsidR="00942D91">
              <w:rPr>
                <w:noProof/>
                <w:webHidden/>
              </w:rPr>
              <w:fldChar w:fldCharType="begin"/>
            </w:r>
            <w:r w:rsidR="00942D91">
              <w:rPr>
                <w:noProof/>
                <w:webHidden/>
              </w:rPr>
              <w:instrText xml:space="preserve"> PAGEREF _Toc500516179 \h </w:instrText>
            </w:r>
            <w:r w:rsidR="00942D91">
              <w:rPr>
                <w:noProof/>
                <w:webHidden/>
              </w:rPr>
            </w:r>
            <w:r w:rsidR="00942D91">
              <w:rPr>
                <w:noProof/>
                <w:webHidden/>
              </w:rPr>
              <w:fldChar w:fldCharType="separate"/>
            </w:r>
            <w:r>
              <w:rPr>
                <w:noProof/>
                <w:webHidden/>
              </w:rPr>
              <w:t>3</w:t>
            </w:r>
            <w:r w:rsidR="00942D91">
              <w:rPr>
                <w:noProof/>
                <w:webHidden/>
              </w:rPr>
              <w:fldChar w:fldCharType="end"/>
            </w:r>
          </w:hyperlink>
        </w:p>
        <w:p w14:paraId="2D03F2E9" w14:textId="72949EAD"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80" w:history="1">
            <w:r w:rsidR="00942D91" w:rsidRPr="00947BA5">
              <w:rPr>
                <w:rStyle w:val="Hyperlink"/>
                <w:noProof/>
              </w:rPr>
              <w:t>Chair’s foreword</w:t>
            </w:r>
            <w:r w:rsidR="00942D91">
              <w:rPr>
                <w:noProof/>
                <w:webHidden/>
              </w:rPr>
              <w:tab/>
            </w:r>
            <w:r w:rsidR="00942D91">
              <w:rPr>
                <w:noProof/>
                <w:webHidden/>
              </w:rPr>
              <w:fldChar w:fldCharType="begin"/>
            </w:r>
            <w:r w:rsidR="00942D91">
              <w:rPr>
                <w:noProof/>
                <w:webHidden/>
              </w:rPr>
              <w:instrText xml:space="preserve"> PAGEREF _Toc500516180 \h </w:instrText>
            </w:r>
            <w:r w:rsidR="00942D91">
              <w:rPr>
                <w:noProof/>
                <w:webHidden/>
              </w:rPr>
            </w:r>
            <w:r w:rsidR="00942D91">
              <w:rPr>
                <w:noProof/>
                <w:webHidden/>
              </w:rPr>
              <w:fldChar w:fldCharType="separate"/>
            </w:r>
            <w:r>
              <w:rPr>
                <w:noProof/>
                <w:webHidden/>
              </w:rPr>
              <w:t>7</w:t>
            </w:r>
            <w:r w:rsidR="00942D91">
              <w:rPr>
                <w:noProof/>
                <w:webHidden/>
              </w:rPr>
              <w:fldChar w:fldCharType="end"/>
            </w:r>
          </w:hyperlink>
        </w:p>
        <w:p w14:paraId="0B8AA26C" w14:textId="4A983B99"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81" w:history="1">
            <w:r w:rsidR="00942D91" w:rsidRPr="00947BA5">
              <w:rPr>
                <w:rStyle w:val="Hyperlink"/>
                <w:noProof/>
              </w:rPr>
              <w:t>Executive summary</w:t>
            </w:r>
            <w:r w:rsidR="00942D91">
              <w:rPr>
                <w:noProof/>
                <w:webHidden/>
              </w:rPr>
              <w:tab/>
            </w:r>
            <w:r w:rsidR="00942D91">
              <w:rPr>
                <w:noProof/>
                <w:webHidden/>
              </w:rPr>
              <w:fldChar w:fldCharType="begin"/>
            </w:r>
            <w:r w:rsidR="00942D91">
              <w:rPr>
                <w:noProof/>
                <w:webHidden/>
              </w:rPr>
              <w:instrText xml:space="preserve"> PAGEREF _Toc500516181 \h </w:instrText>
            </w:r>
            <w:r w:rsidR="00942D91">
              <w:rPr>
                <w:noProof/>
                <w:webHidden/>
              </w:rPr>
            </w:r>
            <w:r w:rsidR="00942D91">
              <w:rPr>
                <w:noProof/>
                <w:webHidden/>
              </w:rPr>
              <w:fldChar w:fldCharType="separate"/>
            </w:r>
            <w:r>
              <w:rPr>
                <w:noProof/>
                <w:webHidden/>
              </w:rPr>
              <w:t>9</w:t>
            </w:r>
            <w:r w:rsidR="00942D91">
              <w:rPr>
                <w:noProof/>
                <w:webHidden/>
              </w:rPr>
              <w:fldChar w:fldCharType="end"/>
            </w:r>
          </w:hyperlink>
        </w:p>
        <w:p w14:paraId="6085D18A" w14:textId="4D333406" w:rsidR="00942D91" w:rsidRDefault="00FA2002">
          <w:pPr>
            <w:pStyle w:val="TOC2"/>
            <w:rPr>
              <w:rFonts w:asciiTheme="minorHAnsi" w:eastAsiaTheme="minorEastAsia" w:hAnsiTheme="minorHAnsi" w:cstheme="minorBidi"/>
              <w:bCs w:val="0"/>
              <w:noProof/>
              <w:sz w:val="22"/>
              <w:szCs w:val="22"/>
              <w:lang w:eastAsia="en-AU"/>
            </w:rPr>
          </w:pPr>
          <w:hyperlink w:anchor="_Toc500516182" w:history="1">
            <w:r w:rsidR="00942D91" w:rsidRPr="00947BA5">
              <w:rPr>
                <w:rStyle w:val="Hyperlink"/>
                <w:noProof/>
              </w:rPr>
              <w:t>Maintaining integrity</w:t>
            </w:r>
            <w:r w:rsidR="00942D91">
              <w:rPr>
                <w:noProof/>
                <w:webHidden/>
              </w:rPr>
              <w:tab/>
            </w:r>
            <w:r w:rsidR="00942D91">
              <w:rPr>
                <w:noProof/>
                <w:webHidden/>
              </w:rPr>
              <w:fldChar w:fldCharType="begin"/>
            </w:r>
            <w:r w:rsidR="00942D91">
              <w:rPr>
                <w:noProof/>
                <w:webHidden/>
              </w:rPr>
              <w:instrText xml:space="preserve"> PAGEREF _Toc500516182 \h </w:instrText>
            </w:r>
            <w:r w:rsidR="00942D91">
              <w:rPr>
                <w:noProof/>
                <w:webHidden/>
              </w:rPr>
            </w:r>
            <w:r w:rsidR="00942D91">
              <w:rPr>
                <w:noProof/>
                <w:webHidden/>
              </w:rPr>
              <w:fldChar w:fldCharType="separate"/>
            </w:r>
            <w:r>
              <w:rPr>
                <w:noProof/>
                <w:webHidden/>
              </w:rPr>
              <w:t>9</w:t>
            </w:r>
            <w:r w:rsidR="00942D91">
              <w:rPr>
                <w:noProof/>
                <w:webHidden/>
              </w:rPr>
              <w:fldChar w:fldCharType="end"/>
            </w:r>
          </w:hyperlink>
        </w:p>
        <w:p w14:paraId="08C47FD7" w14:textId="405FA30C" w:rsidR="00942D91" w:rsidRDefault="00FA2002">
          <w:pPr>
            <w:pStyle w:val="TOC2"/>
            <w:rPr>
              <w:rFonts w:asciiTheme="minorHAnsi" w:eastAsiaTheme="minorEastAsia" w:hAnsiTheme="minorHAnsi" w:cstheme="minorBidi"/>
              <w:bCs w:val="0"/>
              <w:noProof/>
              <w:sz w:val="22"/>
              <w:szCs w:val="22"/>
              <w:lang w:eastAsia="en-AU"/>
            </w:rPr>
          </w:pPr>
          <w:hyperlink w:anchor="_Toc500516183" w:history="1">
            <w:r w:rsidR="00942D91" w:rsidRPr="00947BA5">
              <w:rPr>
                <w:rStyle w:val="Hyperlink"/>
                <w:noProof/>
              </w:rPr>
              <w:t>Purchasing, delivery and the secondary market</w:t>
            </w:r>
            <w:r w:rsidR="00942D91">
              <w:rPr>
                <w:noProof/>
                <w:webHidden/>
              </w:rPr>
              <w:tab/>
            </w:r>
            <w:r w:rsidR="00942D91">
              <w:rPr>
                <w:noProof/>
                <w:webHidden/>
              </w:rPr>
              <w:fldChar w:fldCharType="begin"/>
            </w:r>
            <w:r w:rsidR="00942D91">
              <w:rPr>
                <w:noProof/>
                <w:webHidden/>
              </w:rPr>
              <w:instrText xml:space="preserve"> PAGEREF _Toc500516183 \h </w:instrText>
            </w:r>
            <w:r w:rsidR="00942D91">
              <w:rPr>
                <w:noProof/>
                <w:webHidden/>
              </w:rPr>
            </w:r>
            <w:r w:rsidR="00942D91">
              <w:rPr>
                <w:noProof/>
                <w:webHidden/>
              </w:rPr>
              <w:fldChar w:fldCharType="separate"/>
            </w:r>
            <w:r>
              <w:rPr>
                <w:noProof/>
                <w:webHidden/>
              </w:rPr>
              <w:t>10</w:t>
            </w:r>
            <w:r w:rsidR="00942D91">
              <w:rPr>
                <w:noProof/>
                <w:webHidden/>
              </w:rPr>
              <w:fldChar w:fldCharType="end"/>
            </w:r>
          </w:hyperlink>
        </w:p>
        <w:p w14:paraId="75691360" w14:textId="2FFEC72C" w:rsidR="00942D91" w:rsidRDefault="00FA2002">
          <w:pPr>
            <w:pStyle w:val="TOC2"/>
            <w:rPr>
              <w:rFonts w:asciiTheme="minorHAnsi" w:eastAsiaTheme="minorEastAsia" w:hAnsiTheme="minorHAnsi" w:cstheme="minorBidi"/>
              <w:bCs w:val="0"/>
              <w:noProof/>
              <w:sz w:val="22"/>
              <w:szCs w:val="22"/>
              <w:lang w:eastAsia="en-AU"/>
            </w:rPr>
          </w:pPr>
          <w:hyperlink w:anchor="_Toc500516184" w:history="1">
            <w:r w:rsidR="00942D91" w:rsidRPr="00947BA5">
              <w:rPr>
                <w:rStyle w:val="Hyperlink"/>
                <w:noProof/>
              </w:rPr>
              <w:t>Environmental and social impacts</w:t>
            </w:r>
            <w:r w:rsidR="00942D91">
              <w:rPr>
                <w:noProof/>
                <w:webHidden/>
              </w:rPr>
              <w:tab/>
            </w:r>
            <w:r w:rsidR="00942D91">
              <w:rPr>
                <w:noProof/>
                <w:webHidden/>
              </w:rPr>
              <w:fldChar w:fldCharType="begin"/>
            </w:r>
            <w:r w:rsidR="00942D91">
              <w:rPr>
                <w:noProof/>
                <w:webHidden/>
              </w:rPr>
              <w:instrText xml:space="preserve"> PAGEREF _Toc500516184 \h </w:instrText>
            </w:r>
            <w:r w:rsidR="00942D91">
              <w:rPr>
                <w:noProof/>
                <w:webHidden/>
              </w:rPr>
            </w:r>
            <w:r w:rsidR="00942D91">
              <w:rPr>
                <w:noProof/>
                <w:webHidden/>
              </w:rPr>
              <w:fldChar w:fldCharType="separate"/>
            </w:r>
            <w:r>
              <w:rPr>
                <w:noProof/>
                <w:webHidden/>
              </w:rPr>
              <w:t>11</w:t>
            </w:r>
            <w:r w:rsidR="00942D91">
              <w:rPr>
                <w:noProof/>
                <w:webHidden/>
              </w:rPr>
              <w:fldChar w:fldCharType="end"/>
            </w:r>
          </w:hyperlink>
        </w:p>
        <w:p w14:paraId="5B193386" w14:textId="5C2BA538" w:rsidR="00942D91" w:rsidRDefault="00FA2002">
          <w:pPr>
            <w:pStyle w:val="TOC2"/>
            <w:rPr>
              <w:rFonts w:asciiTheme="minorHAnsi" w:eastAsiaTheme="minorEastAsia" w:hAnsiTheme="minorHAnsi" w:cstheme="minorBidi"/>
              <w:bCs w:val="0"/>
              <w:noProof/>
              <w:sz w:val="22"/>
              <w:szCs w:val="22"/>
              <w:lang w:eastAsia="en-AU"/>
            </w:rPr>
          </w:pPr>
          <w:hyperlink w:anchor="_Toc500516185" w:history="1">
            <w:r w:rsidR="00942D91" w:rsidRPr="00947BA5">
              <w:rPr>
                <w:rStyle w:val="Hyperlink"/>
                <w:noProof/>
              </w:rPr>
              <w:t>Administration of the Emissions Reduction Fund</w:t>
            </w:r>
            <w:r w:rsidR="00942D91">
              <w:rPr>
                <w:noProof/>
                <w:webHidden/>
              </w:rPr>
              <w:tab/>
            </w:r>
            <w:r w:rsidR="00942D91">
              <w:rPr>
                <w:noProof/>
                <w:webHidden/>
              </w:rPr>
              <w:fldChar w:fldCharType="begin"/>
            </w:r>
            <w:r w:rsidR="00942D91">
              <w:rPr>
                <w:noProof/>
                <w:webHidden/>
              </w:rPr>
              <w:instrText xml:space="preserve"> PAGEREF _Toc500516185 \h </w:instrText>
            </w:r>
            <w:r w:rsidR="00942D91">
              <w:rPr>
                <w:noProof/>
                <w:webHidden/>
              </w:rPr>
            </w:r>
            <w:r w:rsidR="00942D91">
              <w:rPr>
                <w:noProof/>
                <w:webHidden/>
              </w:rPr>
              <w:fldChar w:fldCharType="separate"/>
            </w:r>
            <w:r>
              <w:rPr>
                <w:noProof/>
                <w:webHidden/>
              </w:rPr>
              <w:t>11</w:t>
            </w:r>
            <w:r w:rsidR="00942D91">
              <w:rPr>
                <w:noProof/>
                <w:webHidden/>
              </w:rPr>
              <w:fldChar w:fldCharType="end"/>
            </w:r>
          </w:hyperlink>
        </w:p>
        <w:p w14:paraId="70DA7A03" w14:textId="116E4511" w:rsidR="00942D91" w:rsidRDefault="00FA2002">
          <w:pPr>
            <w:pStyle w:val="TOC2"/>
            <w:rPr>
              <w:rFonts w:asciiTheme="minorHAnsi" w:eastAsiaTheme="minorEastAsia" w:hAnsiTheme="minorHAnsi" w:cstheme="minorBidi"/>
              <w:bCs w:val="0"/>
              <w:noProof/>
              <w:sz w:val="22"/>
              <w:szCs w:val="22"/>
              <w:lang w:eastAsia="en-AU"/>
            </w:rPr>
          </w:pPr>
          <w:hyperlink w:anchor="_Toc500516186" w:history="1">
            <w:r w:rsidR="00942D91" w:rsidRPr="00947BA5">
              <w:rPr>
                <w:rStyle w:val="Hyperlink"/>
                <w:noProof/>
              </w:rPr>
              <w:t>Looking to the future</w:t>
            </w:r>
            <w:r w:rsidR="00942D91">
              <w:rPr>
                <w:noProof/>
                <w:webHidden/>
              </w:rPr>
              <w:tab/>
            </w:r>
            <w:r w:rsidR="00942D91">
              <w:rPr>
                <w:noProof/>
                <w:webHidden/>
              </w:rPr>
              <w:fldChar w:fldCharType="begin"/>
            </w:r>
            <w:r w:rsidR="00942D91">
              <w:rPr>
                <w:noProof/>
                <w:webHidden/>
              </w:rPr>
              <w:instrText xml:space="preserve"> PAGEREF _Toc500516186 \h </w:instrText>
            </w:r>
            <w:r w:rsidR="00942D91">
              <w:rPr>
                <w:noProof/>
                <w:webHidden/>
              </w:rPr>
            </w:r>
            <w:r w:rsidR="00942D91">
              <w:rPr>
                <w:noProof/>
                <w:webHidden/>
              </w:rPr>
              <w:fldChar w:fldCharType="separate"/>
            </w:r>
            <w:r>
              <w:rPr>
                <w:noProof/>
                <w:webHidden/>
              </w:rPr>
              <w:t>11</w:t>
            </w:r>
            <w:r w:rsidR="00942D91">
              <w:rPr>
                <w:noProof/>
                <w:webHidden/>
              </w:rPr>
              <w:fldChar w:fldCharType="end"/>
            </w:r>
          </w:hyperlink>
        </w:p>
        <w:p w14:paraId="0887B93B" w14:textId="4E5C49FB"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87" w:history="1">
            <w:r w:rsidR="00942D91" w:rsidRPr="00947BA5">
              <w:rPr>
                <w:rStyle w:val="Hyperlink"/>
                <w:noProof/>
              </w:rPr>
              <w:t>List of recommendations</w:t>
            </w:r>
            <w:r w:rsidR="00942D91">
              <w:rPr>
                <w:noProof/>
                <w:webHidden/>
              </w:rPr>
              <w:tab/>
            </w:r>
            <w:r w:rsidR="00942D91">
              <w:rPr>
                <w:noProof/>
                <w:webHidden/>
              </w:rPr>
              <w:fldChar w:fldCharType="begin"/>
            </w:r>
            <w:r w:rsidR="00942D91">
              <w:rPr>
                <w:noProof/>
                <w:webHidden/>
              </w:rPr>
              <w:instrText xml:space="preserve"> PAGEREF _Toc500516187 \h </w:instrText>
            </w:r>
            <w:r w:rsidR="00942D91">
              <w:rPr>
                <w:noProof/>
                <w:webHidden/>
              </w:rPr>
            </w:r>
            <w:r w:rsidR="00942D91">
              <w:rPr>
                <w:noProof/>
                <w:webHidden/>
              </w:rPr>
              <w:fldChar w:fldCharType="separate"/>
            </w:r>
            <w:r>
              <w:rPr>
                <w:noProof/>
                <w:webHidden/>
              </w:rPr>
              <w:t>13</w:t>
            </w:r>
            <w:r w:rsidR="00942D91">
              <w:rPr>
                <w:noProof/>
                <w:webHidden/>
              </w:rPr>
              <w:fldChar w:fldCharType="end"/>
            </w:r>
          </w:hyperlink>
        </w:p>
        <w:p w14:paraId="59D9D4E3" w14:textId="458F13DA"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88" w:history="1">
            <w:r w:rsidR="00942D91" w:rsidRPr="00947BA5">
              <w:rPr>
                <w:rStyle w:val="Hyperlink"/>
                <w:noProof/>
              </w:rPr>
              <w:t>Chapter 1.</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Background and overview</w:t>
            </w:r>
            <w:r w:rsidR="00942D91">
              <w:rPr>
                <w:noProof/>
                <w:webHidden/>
              </w:rPr>
              <w:tab/>
            </w:r>
            <w:r w:rsidR="00942D91">
              <w:rPr>
                <w:noProof/>
                <w:webHidden/>
              </w:rPr>
              <w:fldChar w:fldCharType="begin"/>
            </w:r>
            <w:r w:rsidR="00942D91">
              <w:rPr>
                <w:noProof/>
                <w:webHidden/>
              </w:rPr>
              <w:instrText xml:space="preserve"> PAGEREF _Toc500516188 \h </w:instrText>
            </w:r>
            <w:r w:rsidR="00942D91">
              <w:rPr>
                <w:noProof/>
                <w:webHidden/>
              </w:rPr>
            </w:r>
            <w:r w:rsidR="00942D91">
              <w:rPr>
                <w:noProof/>
                <w:webHidden/>
              </w:rPr>
              <w:fldChar w:fldCharType="separate"/>
            </w:r>
            <w:r>
              <w:rPr>
                <w:noProof/>
                <w:webHidden/>
              </w:rPr>
              <w:t>15</w:t>
            </w:r>
            <w:r w:rsidR="00942D91">
              <w:rPr>
                <w:noProof/>
                <w:webHidden/>
              </w:rPr>
              <w:fldChar w:fldCharType="end"/>
            </w:r>
          </w:hyperlink>
        </w:p>
        <w:p w14:paraId="14C8FB1C" w14:textId="1CF95ABA" w:rsidR="00942D91" w:rsidRDefault="00FA2002">
          <w:pPr>
            <w:pStyle w:val="TOC2"/>
            <w:rPr>
              <w:rFonts w:asciiTheme="minorHAnsi" w:eastAsiaTheme="minorEastAsia" w:hAnsiTheme="minorHAnsi" w:cstheme="minorBidi"/>
              <w:bCs w:val="0"/>
              <w:noProof/>
              <w:sz w:val="22"/>
              <w:szCs w:val="22"/>
              <w:lang w:eastAsia="en-AU"/>
            </w:rPr>
          </w:pPr>
          <w:hyperlink w:anchor="_Toc500516189" w:history="1">
            <w:r w:rsidR="00942D91" w:rsidRPr="00947BA5">
              <w:rPr>
                <w:rStyle w:val="Hyperlink"/>
                <w:noProof/>
              </w:rPr>
              <w:t>1.1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About this review</w:t>
            </w:r>
            <w:r w:rsidR="00942D91">
              <w:rPr>
                <w:noProof/>
                <w:webHidden/>
              </w:rPr>
              <w:tab/>
            </w:r>
            <w:r w:rsidR="00942D91">
              <w:rPr>
                <w:noProof/>
                <w:webHidden/>
              </w:rPr>
              <w:fldChar w:fldCharType="begin"/>
            </w:r>
            <w:r w:rsidR="00942D91">
              <w:rPr>
                <w:noProof/>
                <w:webHidden/>
              </w:rPr>
              <w:instrText xml:space="preserve"> PAGEREF _Toc500516189 \h </w:instrText>
            </w:r>
            <w:r w:rsidR="00942D91">
              <w:rPr>
                <w:noProof/>
                <w:webHidden/>
              </w:rPr>
            </w:r>
            <w:r w:rsidR="00942D91">
              <w:rPr>
                <w:noProof/>
                <w:webHidden/>
              </w:rPr>
              <w:fldChar w:fldCharType="separate"/>
            </w:r>
            <w:r>
              <w:rPr>
                <w:noProof/>
                <w:webHidden/>
              </w:rPr>
              <w:t>15</w:t>
            </w:r>
            <w:r w:rsidR="00942D91">
              <w:rPr>
                <w:noProof/>
                <w:webHidden/>
              </w:rPr>
              <w:fldChar w:fldCharType="end"/>
            </w:r>
          </w:hyperlink>
        </w:p>
        <w:p w14:paraId="7D561133" w14:textId="251A64D1" w:rsidR="00942D91" w:rsidRDefault="00FA2002">
          <w:pPr>
            <w:pStyle w:val="TOC2"/>
            <w:rPr>
              <w:rFonts w:asciiTheme="minorHAnsi" w:eastAsiaTheme="minorEastAsia" w:hAnsiTheme="minorHAnsi" w:cstheme="minorBidi"/>
              <w:bCs w:val="0"/>
              <w:noProof/>
              <w:sz w:val="22"/>
              <w:szCs w:val="22"/>
              <w:lang w:eastAsia="en-AU"/>
            </w:rPr>
          </w:pPr>
          <w:hyperlink w:anchor="_Toc500516190" w:history="1">
            <w:r w:rsidR="00942D91" w:rsidRPr="00947BA5">
              <w:rPr>
                <w:rStyle w:val="Hyperlink"/>
                <w:noProof/>
              </w:rPr>
              <w:t>1.2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Approach to this review</w:t>
            </w:r>
            <w:r w:rsidR="00942D91">
              <w:rPr>
                <w:noProof/>
                <w:webHidden/>
              </w:rPr>
              <w:tab/>
            </w:r>
            <w:r w:rsidR="00942D91">
              <w:rPr>
                <w:noProof/>
                <w:webHidden/>
              </w:rPr>
              <w:fldChar w:fldCharType="begin"/>
            </w:r>
            <w:r w:rsidR="00942D91">
              <w:rPr>
                <w:noProof/>
                <w:webHidden/>
              </w:rPr>
              <w:instrText xml:space="preserve"> PAGEREF _Toc500516190 \h </w:instrText>
            </w:r>
            <w:r w:rsidR="00942D91">
              <w:rPr>
                <w:noProof/>
                <w:webHidden/>
              </w:rPr>
            </w:r>
            <w:r w:rsidR="00942D91">
              <w:rPr>
                <w:noProof/>
                <w:webHidden/>
              </w:rPr>
              <w:fldChar w:fldCharType="separate"/>
            </w:r>
            <w:r>
              <w:rPr>
                <w:noProof/>
                <w:webHidden/>
              </w:rPr>
              <w:t>15</w:t>
            </w:r>
            <w:r w:rsidR="00942D91">
              <w:rPr>
                <w:noProof/>
                <w:webHidden/>
              </w:rPr>
              <w:fldChar w:fldCharType="end"/>
            </w:r>
          </w:hyperlink>
        </w:p>
        <w:p w14:paraId="69DEBBEC" w14:textId="009A7834" w:rsidR="00942D91" w:rsidRDefault="00FA2002">
          <w:pPr>
            <w:pStyle w:val="TOC2"/>
            <w:rPr>
              <w:rFonts w:asciiTheme="minorHAnsi" w:eastAsiaTheme="minorEastAsia" w:hAnsiTheme="minorHAnsi" w:cstheme="minorBidi"/>
              <w:bCs w:val="0"/>
              <w:noProof/>
              <w:sz w:val="22"/>
              <w:szCs w:val="22"/>
              <w:lang w:eastAsia="en-AU"/>
            </w:rPr>
          </w:pPr>
          <w:hyperlink w:anchor="_Toc500516191" w:history="1">
            <w:r w:rsidR="00942D91" w:rsidRPr="00947BA5">
              <w:rPr>
                <w:rStyle w:val="Hyperlink"/>
                <w:noProof/>
              </w:rPr>
              <w:t>1.3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Public consultation</w:t>
            </w:r>
            <w:r w:rsidR="00942D91">
              <w:rPr>
                <w:noProof/>
                <w:webHidden/>
              </w:rPr>
              <w:tab/>
            </w:r>
            <w:r w:rsidR="00942D91">
              <w:rPr>
                <w:noProof/>
                <w:webHidden/>
              </w:rPr>
              <w:fldChar w:fldCharType="begin"/>
            </w:r>
            <w:r w:rsidR="00942D91">
              <w:rPr>
                <w:noProof/>
                <w:webHidden/>
              </w:rPr>
              <w:instrText xml:space="preserve"> PAGEREF _Toc500516191 \h </w:instrText>
            </w:r>
            <w:r w:rsidR="00942D91">
              <w:rPr>
                <w:noProof/>
                <w:webHidden/>
              </w:rPr>
            </w:r>
            <w:r w:rsidR="00942D91">
              <w:rPr>
                <w:noProof/>
                <w:webHidden/>
              </w:rPr>
              <w:fldChar w:fldCharType="separate"/>
            </w:r>
            <w:r>
              <w:rPr>
                <w:noProof/>
                <w:webHidden/>
              </w:rPr>
              <w:t>15</w:t>
            </w:r>
            <w:r w:rsidR="00942D91">
              <w:rPr>
                <w:noProof/>
                <w:webHidden/>
              </w:rPr>
              <w:fldChar w:fldCharType="end"/>
            </w:r>
          </w:hyperlink>
        </w:p>
        <w:p w14:paraId="20DC4A3E" w14:textId="410200F0"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92" w:history="1">
            <w:r w:rsidR="00942D91" w:rsidRPr="00947BA5">
              <w:rPr>
                <w:rStyle w:val="Hyperlink"/>
                <w:noProof/>
              </w:rPr>
              <w:t>Chapter 2.</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Overview of the Emissions Reduction Fund</w:t>
            </w:r>
            <w:r w:rsidR="00942D91">
              <w:rPr>
                <w:noProof/>
                <w:webHidden/>
              </w:rPr>
              <w:tab/>
            </w:r>
            <w:r w:rsidR="00942D91">
              <w:rPr>
                <w:noProof/>
                <w:webHidden/>
              </w:rPr>
              <w:fldChar w:fldCharType="begin"/>
            </w:r>
            <w:r w:rsidR="00942D91">
              <w:rPr>
                <w:noProof/>
                <w:webHidden/>
              </w:rPr>
              <w:instrText xml:space="preserve"> PAGEREF _Toc500516192 \h </w:instrText>
            </w:r>
            <w:r w:rsidR="00942D91">
              <w:rPr>
                <w:noProof/>
                <w:webHidden/>
              </w:rPr>
            </w:r>
            <w:r w:rsidR="00942D91">
              <w:rPr>
                <w:noProof/>
                <w:webHidden/>
              </w:rPr>
              <w:fldChar w:fldCharType="separate"/>
            </w:r>
            <w:r>
              <w:rPr>
                <w:noProof/>
                <w:webHidden/>
              </w:rPr>
              <w:t>17</w:t>
            </w:r>
            <w:r w:rsidR="00942D91">
              <w:rPr>
                <w:noProof/>
                <w:webHidden/>
              </w:rPr>
              <w:fldChar w:fldCharType="end"/>
            </w:r>
          </w:hyperlink>
        </w:p>
        <w:p w14:paraId="3E18E984" w14:textId="04EACAD0" w:rsidR="00942D91" w:rsidRDefault="00FA2002">
          <w:pPr>
            <w:pStyle w:val="TOC2"/>
            <w:rPr>
              <w:rFonts w:asciiTheme="minorHAnsi" w:eastAsiaTheme="minorEastAsia" w:hAnsiTheme="minorHAnsi" w:cstheme="minorBidi"/>
              <w:bCs w:val="0"/>
              <w:noProof/>
              <w:sz w:val="22"/>
              <w:szCs w:val="22"/>
              <w:lang w:eastAsia="en-AU"/>
            </w:rPr>
          </w:pPr>
          <w:hyperlink w:anchor="_Toc500516193" w:history="1">
            <w:r w:rsidR="00942D91" w:rsidRPr="00947BA5">
              <w:rPr>
                <w:rStyle w:val="Hyperlink"/>
                <w:noProof/>
              </w:rPr>
              <w:t>2.1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What is the Emissions Reduction Fund?</w:t>
            </w:r>
            <w:r w:rsidR="00942D91">
              <w:rPr>
                <w:noProof/>
                <w:webHidden/>
              </w:rPr>
              <w:tab/>
            </w:r>
            <w:r w:rsidR="00942D91">
              <w:rPr>
                <w:noProof/>
                <w:webHidden/>
              </w:rPr>
              <w:fldChar w:fldCharType="begin"/>
            </w:r>
            <w:r w:rsidR="00942D91">
              <w:rPr>
                <w:noProof/>
                <w:webHidden/>
              </w:rPr>
              <w:instrText xml:space="preserve"> PAGEREF _Toc500516193 \h </w:instrText>
            </w:r>
            <w:r w:rsidR="00942D91">
              <w:rPr>
                <w:noProof/>
                <w:webHidden/>
              </w:rPr>
            </w:r>
            <w:r w:rsidR="00942D91">
              <w:rPr>
                <w:noProof/>
                <w:webHidden/>
              </w:rPr>
              <w:fldChar w:fldCharType="separate"/>
            </w:r>
            <w:r>
              <w:rPr>
                <w:noProof/>
                <w:webHidden/>
              </w:rPr>
              <w:t>17</w:t>
            </w:r>
            <w:r w:rsidR="00942D91">
              <w:rPr>
                <w:noProof/>
                <w:webHidden/>
              </w:rPr>
              <w:fldChar w:fldCharType="end"/>
            </w:r>
          </w:hyperlink>
        </w:p>
        <w:p w14:paraId="5CC3413F" w14:textId="3E73416A" w:rsidR="00942D91" w:rsidRDefault="00FA2002">
          <w:pPr>
            <w:pStyle w:val="TOC2"/>
            <w:rPr>
              <w:rFonts w:asciiTheme="minorHAnsi" w:eastAsiaTheme="minorEastAsia" w:hAnsiTheme="minorHAnsi" w:cstheme="minorBidi"/>
              <w:bCs w:val="0"/>
              <w:noProof/>
              <w:sz w:val="22"/>
              <w:szCs w:val="22"/>
              <w:lang w:eastAsia="en-AU"/>
            </w:rPr>
          </w:pPr>
          <w:hyperlink w:anchor="_Toc500516194" w:history="1">
            <w:r w:rsidR="00942D91" w:rsidRPr="00947BA5">
              <w:rPr>
                <w:rStyle w:val="Hyperlink"/>
                <w:noProof/>
              </w:rPr>
              <w:t>2.2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Carbon Farming Initiative transition to the Emissions Reduction Fund</w:t>
            </w:r>
            <w:r w:rsidR="00942D91">
              <w:rPr>
                <w:noProof/>
                <w:webHidden/>
              </w:rPr>
              <w:tab/>
            </w:r>
            <w:r w:rsidR="00942D91">
              <w:rPr>
                <w:noProof/>
                <w:webHidden/>
              </w:rPr>
              <w:fldChar w:fldCharType="begin"/>
            </w:r>
            <w:r w:rsidR="00942D91">
              <w:rPr>
                <w:noProof/>
                <w:webHidden/>
              </w:rPr>
              <w:instrText xml:space="preserve"> PAGEREF _Toc500516194 \h </w:instrText>
            </w:r>
            <w:r w:rsidR="00942D91">
              <w:rPr>
                <w:noProof/>
                <w:webHidden/>
              </w:rPr>
            </w:r>
            <w:r w:rsidR="00942D91">
              <w:rPr>
                <w:noProof/>
                <w:webHidden/>
              </w:rPr>
              <w:fldChar w:fldCharType="separate"/>
            </w:r>
            <w:r>
              <w:rPr>
                <w:noProof/>
                <w:webHidden/>
              </w:rPr>
              <w:t>19</w:t>
            </w:r>
            <w:r w:rsidR="00942D91">
              <w:rPr>
                <w:noProof/>
                <w:webHidden/>
              </w:rPr>
              <w:fldChar w:fldCharType="end"/>
            </w:r>
          </w:hyperlink>
        </w:p>
        <w:p w14:paraId="49AAF4FD" w14:textId="66A14DA8" w:rsidR="00942D91" w:rsidRDefault="00FA2002">
          <w:pPr>
            <w:pStyle w:val="TOC2"/>
            <w:rPr>
              <w:rFonts w:asciiTheme="minorHAnsi" w:eastAsiaTheme="minorEastAsia" w:hAnsiTheme="minorHAnsi" w:cstheme="minorBidi"/>
              <w:bCs w:val="0"/>
              <w:noProof/>
              <w:sz w:val="22"/>
              <w:szCs w:val="22"/>
              <w:lang w:eastAsia="en-AU"/>
            </w:rPr>
          </w:pPr>
          <w:hyperlink w:anchor="_Toc500516195" w:history="1">
            <w:r w:rsidR="00942D91" w:rsidRPr="00947BA5">
              <w:rPr>
                <w:rStyle w:val="Hyperlink"/>
                <w:noProof/>
              </w:rPr>
              <w:t>2.3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Governance of the Emissions Reduction Fund</w:t>
            </w:r>
            <w:r w:rsidR="00942D91">
              <w:rPr>
                <w:noProof/>
                <w:webHidden/>
              </w:rPr>
              <w:tab/>
            </w:r>
            <w:r w:rsidR="00942D91">
              <w:rPr>
                <w:noProof/>
                <w:webHidden/>
              </w:rPr>
              <w:fldChar w:fldCharType="begin"/>
            </w:r>
            <w:r w:rsidR="00942D91">
              <w:rPr>
                <w:noProof/>
                <w:webHidden/>
              </w:rPr>
              <w:instrText xml:space="preserve"> PAGEREF _Toc500516195 \h </w:instrText>
            </w:r>
            <w:r w:rsidR="00942D91">
              <w:rPr>
                <w:noProof/>
                <w:webHidden/>
              </w:rPr>
            </w:r>
            <w:r w:rsidR="00942D91">
              <w:rPr>
                <w:noProof/>
                <w:webHidden/>
              </w:rPr>
              <w:fldChar w:fldCharType="separate"/>
            </w:r>
            <w:r>
              <w:rPr>
                <w:noProof/>
                <w:webHidden/>
              </w:rPr>
              <w:t>19</w:t>
            </w:r>
            <w:r w:rsidR="00942D91">
              <w:rPr>
                <w:noProof/>
                <w:webHidden/>
              </w:rPr>
              <w:fldChar w:fldCharType="end"/>
            </w:r>
          </w:hyperlink>
        </w:p>
        <w:p w14:paraId="3E85655A" w14:textId="552D112E" w:rsidR="00942D91" w:rsidRDefault="00FA2002">
          <w:pPr>
            <w:pStyle w:val="TOC2"/>
            <w:rPr>
              <w:rFonts w:asciiTheme="minorHAnsi" w:eastAsiaTheme="minorEastAsia" w:hAnsiTheme="minorHAnsi" w:cstheme="minorBidi"/>
              <w:bCs w:val="0"/>
              <w:noProof/>
              <w:sz w:val="22"/>
              <w:szCs w:val="22"/>
              <w:lang w:eastAsia="en-AU"/>
            </w:rPr>
          </w:pPr>
          <w:hyperlink w:anchor="_Toc500516196" w:history="1">
            <w:r w:rsidR="00942D91" w:rsidRPr="00947BA5">
              <w:rPr>
                <w:rStyle w:val="Hyperlink"/>
                <w:noProof/>
              </w:rPr>
              <w:t>2.4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International context</w:t>
            </w:r>
            <w:r w:rsidR="00942D91">
              <w:rPr>
                <w:noProof/>
                <w:webHidden/>
              </w:rPr>
              <w:tab/>
            </w:r>
            <w:r w:rsidR="00942D91">
              <w:rPr>
                <w:noProof/>
                <w:webHidden/>
              </w:rPr>
              <w:fldChar w:fldCharType="begin"/>
            </w:r>
            <w:r w:rsidR="00942D91">
              <w:rPr>
                <w:noProof/>
                <w:webHidden/>
              </w:rPr>
              <w:instrText xml:space="preserve"> PAGEREF _Toc500516196 \h </w:instrText>
            </w:r>
            <w:r w:rsidR="00942D91">
              <w:rPr>
                <w:noProof/>
                <w:webHidden/>
              </w:rPr>
            </w:r>
            <w:r w:rsidR="00942D91">
              <w:rPr>
                <w:noProof/>
                <w:webHidden/>
              </w:rPr>
              <w:fldChar w:fldCharType="separate"/>
            </w:r>
            <w:r>
              <w:rPr>
                <w:noProof/>
                <w:webHidden/>
              </w:rPr>
              <w:t>20</w:t>
            </w:r>
            <w:r w:rsidR="00942D91">
              <w:rPr>
                <w:noProof/>
                <w:webHidden/>
              </w:rPr>
              <w:fldChar w:fldCharType="end"/>
            </w:r>
          </w:hyperlink>
        </w:p>
        <w:p w14:paraId="1E8E0690" w14:textId="3CF8E1CF"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197" w:history="1">
            <w:r w:rsidR="00942D91" w:rsidRPr="00947BA5">
              <w:rPr>
                <w:rStyle w:val="Hyperlink"/>
                <w:noProof/>
              </w:rPr>
              <w:t>Chapter 3.</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Methods</w:t>
            </w:r>
            <w:r w:rsidR="00942D91">
              <w:rPr>
                <w:noProof/>
                <w:webHidden/>
              </w:rPr>
              <w:tab/>
            </w:r>
            <w:r w:rsidR="00942D91">
              <w:rPr>
                <w:noProof/>
                <w:webHidden/>
              </w:rPr>
              <w:fldChar w:fldCharType="begin"/>
            </w:r>
            <w:r w:rsidR="00942D91">
              <w:rPr>
                <w:noProof/>
                <w:webHidden/>
              </w:rPr>
              <w:instrText xml:space="preserve"> PAGEREF _Toc500516197 \h </w:instrText>
            </w:r>
            <w:r w:rsidR="00942D91">
              <w:rPr>
                <w:noProof/>
                <w:webHidden/>
              </w:rPr>
            </w:r>
            <w:r w:rsidR="00942D91">
              <w:rPr>
                <w:noProof/>
                <w:webHidden/>
              </w:rPr>
              <w:fldChar w:fldCharType="separate"/>
            </w:r>
            <w:r>
              <w:rPr>
                <w:noProof/>
                <w:webHidden/>
              </w:rPr>
              <w:t>21</w:t>
            </w:r>
            <w:r w:rsidR="00942D91">
              <w:rPr>
                <w:noProof/>
                <w:webHidden/>
              </w:rPr>
              <w:fldChar w:fldCharType="end"/>
            </w:r>
          </w:hyperlink>
        </w:p>
        <w:p w14:paraId="499E861F" w14:textId="32FBA2B5" w:rsidR="00942D91" w:rsidRDefault="00FA2002">
          <w:pPr>
            <w:pStyle w:val="TOC2"/>
            <w:rPr>
              <w:rFonts w:asciiTheme="minorHAnsi" w:eastAsiaTheme="minorEastAsia" w:hAnsiTheme="minorHAnsi" w:cstheme="minorBidi"/>
              <w:bCs w:val="0"/>
              <w:noProof/>
              <w:sz w:val="22"/>
              <w:szCs w:val="22"/>
              <w:lang w:eastAsia="en-AU"/>
            </w:rPr>
          </w:pPr>
          <w:hyperlink w:anchor="_Toc500516198" w:history="1">
            <w:r w:rsidR="00942D91" w:rsidRPr="00947BA5">
              <w:rPr>
                <w:rStyle w:val="Hyperlink"/>
                <w:noProof/>
              </w:rPr>
              <w:t>3.1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Uptake and emissions reductions from methods</w:t>
            </w:r>
            <w:r w:rsidR="00942D91">
              <w:rPr>
                <w:noProof/>
                <w:webHidden/>
              </w:rPr>
              <w:tab/>
            </w:r>
            <w:r w:rsidR="00942D91">
              <w:rPr>
                <w:noProof/>
                <w:webHidden/>
              </w:rPr>
              <w:fldChar w:fldCharType="begin"/>
            </w:r>
            <w:r w:rsidR="00942D91">
              <w:rPr>
                <w:noProof/>
                <w:webHidden/>
              </w:rPr>
              <w:instrText xml:space="preserve"> PAGEREF _Toc500516198 \h </w:instrText>
            </w:r>
            <w:r w:rsidR="00942D91">
              <w:rPr>
                <w:noProof/>
                <w:webHidden/>
              </w:rPr>
            </w:r>
            <w:r w:rsidR="00942D91">
              <w:rPr>
                <w:noProof/>
                <w:webHidden/>
              </w:rPr>
              <w:fldChar w:fldCharType="separate"/>
            </w:r>
            <w:r>
              <w:rPr>
                <w:noProof/>
                <w:webHidden/>
              </w:rPr>
              <w:t>21</w:t>
            </w:r>
            <w:r w:rsidR="00942D91">
              <w:rPr>
                <w:noProof/>
                <w:webHidden/>
              </w:rPr>
              <w:fldChar w:fldCharType="end"/>
            </w:r>
          </w:hyperlink>
        </w:p>
        <w:p w14:paraId="618C3BDC" w14:textId="7A9DD1CB" w:rsidR="00942D91" w:rsidRDefault="00FA2002">
          <w:pPr>
            <w:pStyle w:val="TOC2"/>
            <w:rPr>
              <w:rFonts w:asciiTheme="minorHAnsi" w:eastAsiaTheme="minorEastAsia" w:hAnsiTheme="minorHAnsi" w:cstheme="minorBidi"/>
              <w:bCs w:val="0"/>
              <w:noProof/>
              <w:sz w:val="22"/>
              <w:szCs w:val="22"/>
              <w:lang w:eastAsia="en-AU"/>
            </w:rPr>
          </w:pPr>
          <w:hyperlink w:anchor="_Toc500516199" w:history="1">
            <w:r w:rsidR="00942D91" w:rsidRPr="00947BA5">
              <w:rPr>
                <w:rStyle w:val="Hyperlink"/>
                <w:noProof/>
              </w:rPr>
              <w:t>3.2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Barriers to uptake of methods</w:t>
            </w:r>
            <w:r w:rsidR="00942D91">
              <w:rPr>
                <w:noProof/>
                <w:webHidden/>
              </w:rPr>
              <w:tab/>
            </w:r>
            <w:r w:rsidR="00942D91">
              <w:rPr>
                <w:noProof/>
                <w:webHidden/>
              </w:rPr>
              <w:fldChar w:fldCharType="begin"/>
            </w:r>
            <w:r w:rsidR="00942D91">
              <w:rPr>
                <w:noProof/>
                <w:webHidden/>
              </w:rPr>
              <w:instrText xml:space="preserve"> PAGEREF _Toc500516199 \h </w:instrText>
            </w:r>
            <w:r w:rsidR="00942D91">
              <w:rPr>
                <w:noProof/>
                <w:webHidden/>
              </w:rPr>
            </w:r>
            <w:r w:rsidR="00942D91">
              <w:rPr>
                <w:noProof/>
                <w:webHidden/>
              </w:rPr>
              <w:fldChar w:fldCharType="separate"/>
            </w:r>
            <w:r>
              <w:rPr>
                <w:noProof/>
                <w:webHidden/>
              </w:rPr>
              <w:t>22</w:t>
            </w:r>
            <w:r w:rsidR="00942D91">
              <w:rPr>
                <w:noProof/>
                <w:webHidden/>
              </w:rPr>
              <w:fldChar w:fldCharType="end"/>
            </w:r>
          </w:hyperlink>
        </w:p>
        <w:p w14:paraId="5BE156A3" w14:textId="138642FF" w:rsidR="00942D91" w:rsidRDefault="00FA2002">
          <w:pPr>
            <w:pStyle w:val="TOC2"/>
            <w:rPr>
              <w:rFonts w:asciiTheme="minorHAnsi" w:eastAsiaTheme="minorEastAsia" w:hAnsiTheme="minorHAnsi" w:cstheme="minorBidi"/>
              <w:bCs w:val="0"/>
              <w:noProof/>
              <w:sz w:val="22"/>
              <w:szCs w:val="22"/>
              <w:lang w:eastAsia="en-AU"/>
            </w:rPr>
          </w:pPr>
          <w:hyperlink w:anchor="_Toc500516200" w:history="1">
            <w:r w:rsidR="00942D91" w:rsidRPr="00947BA5">
              <w:rPr>
                <w:rStyle w:val="Hyperlink"/>
                <w:noProof/>
              </w:rPr>
              <w:t>3.3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Opportunities for new methods</w:t>
            </w:r>
            <w:r w:rsidR="00942D91">
              <w:rPr>
                <w:noProof/>
                <w:webHidden/>
              </w:rPr>
              <w:tab/>
            </w:r>
            <w:r w:rsidR="00942D91">
              <w:rPr>
                <w:noProof/>
                <w:webHidden/>
              </w:rPr>
              <w:fldChar w:fldCharType="begin"/>
            </w:r>
            <w:r w:rsidR="00942D91">
              <w:rPr>
                <w:noProof/>
                <w:webHidden/>
              </w:rPr>
              <w:instrText xml:space="preserve"> PAGEREF _Toc500516200 \h </w:instrText>
            </w:r>
            <w:r w:rsidR="00942D91">
              <w:rPr>
                <w:noProof/>
                <w:webHidden/>
              </w:rPr>
            </w:r>
            <w:r w:rsidR="00942D91">
              <w:rPr>
                <w:noProof/>
                <w:webHidden/>
              </w:rPr>
              <w:fldChar w:fldCharType="separate"/>
            </w:r>
            <w:r>
              <w:rPr>
                <w:noProof/>
                <w:webHidden/>
              </w:rPr>
              <w:t>24</w:t>
            </w:r>
            <w:r w:rsidR="00942D91">
              <w:rPr>
                <w:noProof/>
                <w:webHidden/>
              </w:rPr>
              <w:fldChar w:fldCharType="end"/>
            </w:r>
          </w:hyperlink>
        </w:p>
        <w:p w14:paraId="6EC5A4BF" w14:textId="20C4F9FE" w:rsidR="00942D91" w:rsidRDefault="00FA2002">
          <w:pPr>
            <w:pStyle w:val="TOC2"/>
            <w:rPr>
              <w:rFonts w:asciiTheme="minorHAnsi" w:eastAsiaTheme="minorEastAsia" w:hAnsiTheme="minorHAnsi" w:cstheme="minorBidi"/>
              <w:bCs w:val="0"/>
              <w:noProof/>
              <w:sz w:val="22"/>
              <w:szCs w:val="22"/>
              <w:lang w:eastAsia="en-AU"/>
            </w:rPr>
          </w:pPr>
          <w:hyperlink w:anchor="_Toc500516201" w:history="1">
            <w:r w:rsidR="00942D91" w:rsidRPr="00947BA5">
              <w:rPr>
                <w:rStyle w:val="Hyperlink"/>
                <w:noProof/>
              </w:rPr>
              <w:t>3.4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Offsets Integrity Standards</w:t>
            </w:r>
            <w:r w:rsidR="00942D91">
              <w:rPr>
                <w:noProof/>
                <w:webHidden/>
              </w:rPr>
              <w:tab/>
            </w:r>
            <w:r w:rsidR="00942D91">
              <w:rPr>
                <w:noProof/>
                <w:webHidden/>
              </w:rPr>
              <w:fldChar w:fldCharType="begin"/>
            </w:r>
            <w:r w:rsidR="00942D91">
              <w:rPr>
                <w:noProof/>
                <w:webHidden/>
              </w:rPr>
              <w:instrText xml:space="preserve"> PAGEREF _Toc500516201 \h </w:instrText>
            </w:r>
            <w:r w:rsidR="00942D91">
              <w:rPr>
                <w:noProof/>
                <w:webHidden/>
              </w:rPr>
            </w:r>
            <w:r w:rsidR="00942D91">
              <w:rPr>
                <w:noProof/>
                <w:webHidden/>
              </w:rPr>
              <w:fldChar w:fldCharType="separate"/>
            </w:r>
            <w:r>
              <w:rPr>
                <w:noProof/>
                <w:webHidden/>
              </w:rPr>
              <w:t>25</w:t>
            </w:r>
            <w:r w:rsidR="00942D91">
              <w:rPr>
                <w:noProof/>
                <w:webHidden/>
              </w:rPr>
              <w:fldChar w:fldCharType="end"/>
            </w:r>
          </w:hyperlink>
        </w:p>
        <w:p w14:paraId="2F4E250E" w14:textId="3FB75872" w:rsidR="00942D91" w:rsidRDefault="00FA2002">
          <w:pPr>
            <w:pStyle w:val="TOC2"/>
            <w:rPr>
              <w:rFonts w:asciiTheme="minorHAnsi" w:eastAsiaTheme="minorEastAsia" w:hAnsiTheme="minorHAnsi" w:cstheme="minorBidi"/>
              <w:bCs w:val="0"/>
              <w:noProof/>
              <w:sz w:val="22"/>
              <w:szCs w:val="22"/>
              <w:lang w:eastAsia="en-AU"/>
            </w:rPr>
          </w:pPr>
          <w:hyperlink w:anchor="_Toc500516202" w:history="1">
            <w:r w:rsidR="00942D91" w:rsidRPr="00947BA5">
              <w:rPr>
                <w:rStyle w:val="Hyperlink"/>
                <w:noProof/>
              </w:rPr>
              <w:t>3.5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Development of methods</w:t>
            </w:r>
            <w:r w:rsidR="00942D91">
              <w:rPr>
                <w:noProof/>
                <w:webHidden/>
              </w:rPr>
              <w:tab/>
            </w:r>
            <w:r w:rsidR="00942D91">
              <w:rPr>
                <w:noProof/>
                <w:webHidden/>
              </w:rPr>
              <w:fldChar w:fldCharType="begin"/>
            </w:r>
            <w:r w:rsidR="00942D91">
              <w:rPr>
                <w:noProof/>
                <w:webHidden/>
              </w:rPr>
              <w:instrText xml:space="preserve"> PAGEREF _Toc500516202 \h </w:instrText>
            </w:r>
            <w:r w:rsidR="00942D91">
              <w:rPr>
                <w:noProof/>
                <w:webHidden/>
              </w:rPr>
            </w:r>
            <w:r w:rsidR="00942D91">
              <w:rPr>
                <w:noProof/>
                <w:webHidden/>
              </w:rPr>
              <w:fldChar w:fldCharType="separate"/>
            </w:r>
            <w:r>
              <w:rPr>
                <w:noProof/>
                <w:webHidden/>
              </w:rPr>
              <w:t>27</w:t>
            </w:r>
            <w:r w:rsidR="00942D91">
              <w:rPr>
                <w:noProof/>
                <w:webHidden/>
              </w:rPr>
              <w:fldChar w:fldCharType="end"/>
            </w:r>
          </w:hyperlink>
        </w:p>
        <w:p w14:paraId="63F052B1" w14:textId="77C8D8B7" w:rsidR="00942D91" w:rsidRDefault="00FA2002">
          <w:pPr>
            <w:pStyle w:val="TOC2"/>
            <w:rPr>
              <w:rFonts w:asciiTheme="minorHAnsi" w:eastAsiaTheme="minorEastAsia" w:hAnsiTheme="minorHAnsi" w:cstheme="minorBidi"/>
              <w:bCs w:val="0"/>
              <w:noProof/>
              <w:sz w:val="22"/>
              <w:szCs w:val="22"/>
              <w:lang w:eastAsia="en-AU"/>
            </w:rPr>
          </w:pPr>
          <w:hyperlink w:anchor="_Toc500516203" w:history="1">
            <w:r w:rsidR="00942D91" w:rsidRPr="00947BA5">
              <w:rPr>
                <w:rStyle w:val="Hyperlink"/>
                <w:noProof/>
              </w:rPr>
              <w:t>3.6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Prioritising methods for development</w:t>
            </w:r>
            <w:r w:rsidR="00942D91">
              <w:rPr>
                <w:noProof/>
                <w:webHidden/>
              </w:rPr>
              <w:tab/>
            </w:r>
            <w:r w:rsidR="00942D91">
              <w:rPr>
                <w:noProof/>
                <w:webHidden/>
              </w:rPr>
              <w:fldChar w:fldCharType="begin"/>
            </w:r>
            <w:r w:rsidR="00942D91">
              <w:rPr>
                <w:noProof/>
                <w:webHidden/>
              </w:rPr>
              <w:instrText xml:space="preserve"> PAGEREF _Toc500516203 \h </w:instrText>
            </w:r>
            <w:r w:rsidR="00942D91">
              <w:rPr>
                <w:noProof/>
                <w:webHidden/>
              </w:rPr>
            </w:r>
            <w:r w:rsidR="00942D91">
              <w:rPr>
                <w:noProof/>
                <w:webHidden/>
              </w:rPr>
              <w:fldChar w:fldCharType="separate"/>
            </w:r>
            <w:r>
              <w:rPr>
                <w:noProof/>
                <w:webHidden/>
              </w:rPr>
              <w:t>28</w:t>
            </w:r>
            <w:r w:rsidR="00942D91">
              <w:rPr>
                <w:noProof/>
                <w:webHidden/>
              </w:rPr>
              <w:fldChar w:fldCharType="end"/>
            </w:r>
          </w:hyperlink>
        </w:p>
        <w:p w14:paraId="15A12A84" w14:textId="6F2ED35F" w:rsidR="00942D91" w:rsidRDefault="00FA2002">
          <w:pPr>
            <w:pStyle w:val="TOC2"/>
            <w:rPr>
              <w:rFonts w:asciiTheme="minorHAnsi" w:eastAsiaTheme="minorEastAsia" w:hAnsiTheme="minorHAnsi" w:cstheme="minorBidi"/>
              <w:bCs w:val="0"/>
              <w:noProof/>
              <w:sz w:val="22"/>
              <w:szCs w:val="22"/>
              <w:lang w:eastAsia="en-AU"/>
            </w:rPr>
          </w:pPr>
          <w:hyperlink w:anchor="_Toc500516204" w:history="1">
            <w:r w:rsidR="00942D91" w:rsidRPr="00947BA5">
              <w:rPr>
                <w:rStyle w:val="Hyperlink"/>
                <w:noProof/>
              </w:rPr>
              <w:t>3.7</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Emissions Reduction Assurance Committee and the method review process</w:t>
            </w:r>
            <w:r w:rsidR="00942D91">
              <w:rPr>
                <w:noProof/>
                <w:webHidden/>
              </w:rPr>
              <w:tab/>
            </w:r>
            <w:r w:rsidR="00942D91">
              <w:rPr>
                <w:noProof/>
                <w:webHidden/>
              </w:rPr>
              <w:fldChar w:fldCharType="begin"/>
            </w:r>
            <w:r w:rsidR="00942D91">
              <w:rPr>
                <w:noProof/>
                <w:webHidden/>
              </w:rPr>
              <w:instrText xml:space="preserve"> PAGEREF _Toc500516204 \h </w:instrText>
            </w:r>
            <w:r w:rsidR="00942D91">
              <w:rPr>
                <w:noProof/>
                <w:webHidden/>
              </w:rPr>
            </w:r>
            <w:r w:rsidR="00942D91">
              <w:rPr>
                <w:noProof/>
                <w:webHidden/>
              </w:rPr>
              <w:fldChar w:fldCharType="separate"/>
            </w:r>
            <w:r>
              <w:rPr>
                <w:noProof/>
                <w:webHidden/>
              </w:rPr>
              <w:t>29</w:t>
            </w:r>
            <w:r w:rsidR="00942D91">
              <w:rPr>
                <w:noProof/>
                <w:webHidden/>
              </w:rPr>
              <w:fldChar w:fldCharType="end"/>
            </w:r>
          </w:hyperlink>
        </w:p>
        <w:p w14:paraId="62E8D81A" w14:textId="726FDD1E" w:rsidR="00942D91" w:rsidRDefault="00FA2002">
          <w:pPr>
            <w:pStyle w:val="TOC2"/>
            <w:rPr>
              <w:rFonts w:asciiTheme="minorHAnsi" w:eastAsiaTheme="minorEastAsia" w:hAnsiTheme="minorHAnsi" w:cstheme="minorBidi"/>
              <w:bCs w:val="0"/>
              <w:noProof/>
              <w:sz w:val="22"/>
              <w:szCs w:val="22"/>
              <w:lang w:eastAsia="en-AU"/>
            </w:rPr>
          </w:pPr>
          <w:hyperlink w:anchor="_Toc500516205" w:history="1">
            <w:r w:rsidR="00942D91" w:rsidRPr="00947BA5">
              <w:rPr>
                <w:rStyle w:val="Hyperlink"/>
                <w:noProof/>
              </w:rPr>
              <w:t>3.8</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Emissions Reduction Assurance Committee secretariat support</w:t>
            </w:r>
            <w:r w:rsidR="00942D91">
              <w:rPr>
                <w:noProof/>
                <w:webHidden/>
              </w:rPr>
              <w:tab/>
            </w:r>
            <w:r w:rsidR="00942D91">
              <w:rPr>
                <w:noProof/>
                <w:webHidden/>
              </w:rPr>
              <w:fldChar w:fldCharType="begin"/>
            </w:r>
            <w:r w:rsidR="00942D91">
              <w:rPr>
                <w:noProof/>
                <w:webHidden/>
              </w:rPr>
              <w:instrText xml:space="preserve"> PAGEREF _Toc500516205 \h </w:instrText>
            </w:r>
            <w:r w:rsidR="00942D91">
              <w:rPr>
                <w:noProof/>
                <w:webHidden/>
              </w:rPr>
            </w:r>
            <w:r w:rsidR="00942D91">
              <w:rPr>
                <w:noProof/>
                <w:webHidden/>
              </w:rPr>
              <w:fldChar w:fldCharType="separate"/>
            </w:r>
            <w:r>
              <w:rPr>
                <w:noProof/>
                <w:webHidden/>
              </w:rPr>
              <w:t>30</w:t>
            </w:r>
            <w:r w:rsidR="00942D91">
              <w:rPr>
                <w:noProof/>
                <w:webHidden/>
              </w:rPr>
              <w:fldChar w:fldCharType="end"/>
            </w:r>
          </w:hyperlink>
        </w:p>
        <w:p w14:paraId="19B74898" w14:textId="4882C09C" w:rsidR="00942D91" w:rsidRDefault="00FA2002">
          <w:pPr>
            <w:pStyle w:val="TOC2"/>
            <w:rPr>
              <w:rFonts w:asciiTheme="minorHAnsi" w:eastAsiaTheme="minorEastAsia" w:hAnsiTheme="minorHAnsi" w:cstheme="minorBidi"/>
              <w:bCs w:val="0"/>
              <w:noProof/>
              <w:sz w:val="22"/>
              <w:szCs w:val="22"/>
              <w:lang w:eastAsia="en-AU"/>
            </w:rPr>
          </w:pPr>
          <w:hyperlink w:anchor="_Toc500516206" w:history="1">
            <w:r w:rsidR="00942D91" w:rsidRPr="00947BA5">
              <w:rPr>
                <w:rStyle w:val="Hyperlink"/>
                <w:noProof/>
              </w:rPr>
              <w:t>3.9</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Incentives to change methods</w:t>
            </w:r>
            <w:r w:rsidR="00942D91">
              <w:rPr>
                <w:noProof/>
                <w:webHidden/>
              </w:rPr>
              <w:tab/>
            </w:r>
            <w:r w:rsidR="00942D91">
              <w:rPr>
                <w:noProof/>
                <w:webHidden/>
              </w:rPr>
              <w:fldChar w:fldCharType="begin"/>
            </w:r>
            <w:r w:rsidR="00942D91">
              <w:rPr>
                <w:noProof/>
                <w:webHidden/>
              </w:rPr>
              <w:instrText xml:space="preserve"> PAGEREF _Toc500516206 \h </w:instrText>
            </w:r>
            <w:r w:rsidR="00942D91">
              <w:rPr>
                <w:noProof/>
                <w:webHidden/>
              </w:rPr>
            </w:r>
            <w:r w:rsidR="00942D91">
              <w:rPr>
                <w:noProof/>
                <w:webHidden/>
              </w:rPr>
              <w:fldChar w:fldCharType="separate"/>
            </w:r>
            <w:r>
              <w:rPr>
                <w:noProof/>
                <w:webHidden/>
              </w:rPr>
              <w:t>31</w:t>
            </w:r>
            <w:r w:rsidR="00942D91">
              <w:rPr>
                <w:noProof/>
                <w:webHidden/>
              </w:rPr>
              <w:fldChar w:fldCharType="end"/>
            </w:r>
          </w:hyperlink>
        </w:p>
        <w:p w14:paraId="2768BF52" w14:textId="5B23EC20" w:rsidR="00942D91" w:rsidRDefault="00FA2002">
          <w:pPr>
            <w:pStyle w:val="TOC2"/>
            <w:rPr>
              <w:rFonts w:asciiTheme="minorHAnsi" w:eastAsiaTheme="minorEastAsia" w:hAnsiTheme="minorHAnsi" w:cstheme="minorBidi"/>
              <w:bCs w:val="0"/>
              <w:noProof/>
              <w:sz w:val="22"/>
              <w:szCs w:val="22"/>
              <w:lang w:eastAsia="en-AU"/>
            </w:rPr>
          </w:pPr>
          <w:hyperlink w:anchor="_Toc500516207" w:history="1">
            <w:r w:rsidR="00942D91" w:rsidRPr="00947BA5">
              <w:rPr>
                <w:rStyle w:val="Hyperlink"/>
                <w:noProof/>
              </w:rPr>
              <w:t>3.10</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Estimation factors and tools</w:t>
            </w:r>
            <w:r w:rsidR="00942D91">
              <w:rPr>
                <w:noProof/>
                <w:webHidden/>
              </w:rPr>
              <w:tab/>
            </w:r>
            <w:r w:rsidR="00942D91">
              <w:rPr>
                <w:noProof/>
                <w:webHidden/>
              </w:rPr>
              <w:fldChar w:fldCharType="begin"/>
            </w:r>
            <w:r w:rsidR="00942D91">
              <w:rPr>
                <w:noProof/>
                <w:webHidden/>
              </w:rPr>
              <w:instrText xml:space="preserve"> PAGEREF _Toc500516207 \h </w:instrText>
            </w:r>
            <w:r w:rsidR="00942D91">
              <w:rPr>
                <w:noProof/>
                <w:webHidden/>
              </w:rPr>
            </w:r>
            <w:r w:rsidR="00942D91">
              <w:rPr>
                <w:noProof/>
                <w:webHidden/>
              </w:rPr>
              <w:fldChar w:fldCharType="separate"/>
            </w:r>
            <w:r>
              <w:rPr>
                <w:noProof/>
                <w:webHidden/>
              </w:rPr>
              <w:t>31</w:t>
            </w:r>
            <w:r w:rsidR="00942D91">
              <w:rPr>
                <w:noProof/>
                <w:webHidden/>
              </w:rPr>
              <w:fldChar w:fldCharType="end"/>
            </w:r>
          </w:hyperlink>
        </w:p>
        <w:p w14:paraId="788066EE" w14:textId="0C265E19"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08" w:history="1">
            <w:r w:rsidR="00942D91" w:rsidRPr="00947BA5">
              <w:rPr>
                <w:rStyle w:val="Hyperlink"/>
                <w:noProof/>
              </w:rPr>
              <w:t>Chapter 4.</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Additionality</w:t>
            </w:r>
            <w:r w:rsidR="00942D91">
              <w:rPr>
                <w:noProof/>
                <w:webHidden/>
              </w:rPr>
              <w:tab/>
            </w:r>
            <w:r w:rsidR="00942D91">
              <w:rPr>
                <w:noProof/>
                <w:webHidden/>
              </w:rPr>
              <w:fldChar w:fldCharType="begin"/>
            </w:r>
            <w:r w:rsidR="00942D91">
              <w:rPr>
                <w:noProof/>
                <w:webHidden/>
              </w:rPr>
              <w:instrText xml:space="preserve"> PAGEREF _Toc500516208 \h </w:instrText>
            </w:r>
            <w:r w:rsidR="00942D91">
              <w:rPr>
                <w:noProof/>
                <w:webHidden/>
              </w:rPr>
            </w:r>
            <w:r w:rsidR="00942D91">
              <w:rPr>
                <w:noProof/>
                <w:webHidden/>
              </w:rPr>
              <w:fldChar w:fldCharType="separate"/>
            </w:r>
            <w:r>
              <w:rPr>
                <w:noProof/>
                <w:webHidden/>
              </w:rPr>
              <w:t>33</w:t>
            </w:r>
            <w:r w:rsidR="00942D91">
              <w:rPr>
                <w:noProof/>
                <w:webHidden/>
              </w:rPr>
              <w:fldChar w:fldCharType="end"/>
            </w:r>
          </w:hyperlink>
        </w:p>
        <w:p w14:paraId="70F9B6DD" w14:textId="36F489B9" w:rsidR="00942D91" w:rsidRDefault="00FA2002">
          <w:pPr>
            <w:pStyle w:val="TOC2"/>
            <w:rPr>
              <w:rFonts w:asciiTheme="minorHAnsi" w:eastAsiaTheme="minorEastAsia" w:hAnsiTheme="minorHAnsi" w:cstheme="minorBidi"/>
              <w:bCs w:val="0"/>
              <w:noProof/>
              <w:sz w:val="22"/>
              <w:szCs w:val="22"/>
              <w:lang w:eastAsia="en-AU"/>
            </w:rPr>
          </w:pPr>
          <w:hyperlink w:anchor="_Toc500516209" w:history="1">
            <w:r w:rsidR="00942D91" w:rsidRPr="00947BA5">
              <w:rPr>
                <w:rStyle w:val="Hyperlink"/>
                <w:noProof/>
              </w:rPr>
              <w:t>4.1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Additionality under the Carbon Farming Initiative Act</w:t>
            </w:r>
            <w:r w:rsidR="00942D91">
              <w:rPr>
                <w:noProof/>
                <w:webHidden/>
              </w:rPr>
              <w:tab/>
            </w:r>
            <w:r w:rsidR="00942D91">
              <w:rPr>
                <w:noProof/>
                <w:webHidden/>
              </w:rPr>
              <w:fldChar w:fldCharType="begin"/>
            </w:r>
            <w:r w:rsidR="00942D91">
              <w:rPr>
                <w:noProof/>
                <w:webHidden/>
              </w:rPr>
              <w:instrText xml:space="preserve"> PAGEREF _Toc500516209 \h </w:instrText>
            </w:r>
            <w:r w:rsidR="00942D91">
              <w:rPr>
                <w:noProof/>
                <w:webHidden/>
              </w:rPr>
            </w:r>
            <w:r w:rsidR="00942D91">
              <w:rPr>
                <w:noProof/>
                <w:webHidden/>
              </w:rPr>
              <w:fldChar w:fldCharType="separate"/>
            </w:r>
            <w:r>
              <w:rPr>
                <w:noProof/>
                <w:webHidden/>
              </w:rPr>
              <w:t>33</w:t>
            </w:r>
            <w:r w:rsidR="00942D91">
              <w:rPr>
                <w:noProof/>
                <w:webHidden/>
              </w:rPr>
              <w:fldChar w:fldCharType="end"/>
            </w:r>
          </w:hyperlink>
        </w:p>
        <w:p w14:paraId="36E9269C" w14:textId="5E54513A" w:rsidR="00942D91" w:rsidRDefault="00FA2002">
          <w:pPr>
            <w:pStyle w:val="TOC2"/>
            <w:rPr>
              <w:rFonts w:asciiTheme="minorHAnsi" w:eastAsiaTheme="minorEastAsia" w:hAnsiTheme="minorHAnsi" w:cstheme="minorBidi"/>
              <w:bCs w:val="0"/>
              <w:noProof/>
              <w:sz w:val="22"/>
              <w:szCs w:val="22"/>
              <w:lang w:eastAsia="en-AU"/>
            </w:rPr>
          </w:pPr>
          <w:hyperlink w:anchor="_Toc500516210" w:history="1">
            <w:r w:rsidR="00942D91" w:rsidRPr="00947BA5">
              <w:rPr>
                <w:rStyle w:val="Hyperlink"/>
                <w:noProof/>
              </w:rPr>
              <w:t>4.2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Additionality requirements in methods</w:t>
            </w:r>
            <w:r w:rsidR="00942D91">
              <w:rPr>
                <w:noProof/>
                <w:webHidden/>
              </w:rPr>
              <w:tab/>
            </w:r>
            <w:r w:rsidR="00942D91">
              <w:rPr>
                <w:noProof/>
                <w:webHidden/>
              </w:rPr>
              <w:fldChar w:fldCharType="begin"/>
            </w:r>
            <w:r w:rsidR="00942D91">
              <w:rPr>
                <w:noProof/>
                <w:webHidden/>
              </w:rPr>
              <w:instrText xml:space="preserve"> PAGEREF _Toc500516210 \h </w:instrText>
            </w:r>
            <w:r w:rsidR="00942D91">
              <w:rPr>
                <w:noProof/>
                <w:webHidden/>
              </w:rPr>
            </w:r>
            <w:r w:rsidR="00942D91">
              <w:rPr>
                <w:noProof/>
                <w:webHidden/>
              </w:rPr>
              <w:fldChar w:fldCharType="separate"/>
            </w:r>
            <w:r>
              <w:rPr>
                <w:noProof/>
                <w:webHidden/>
              </w:rPr>
              <w:t>34</w:t>
            </w:r>
            <w:r w:rsidR="00942D91">
              <w:rPr>
                <w:noProof/>
                <w:webHidden/>
              </w:rPr>
              <w:fldChar w:fldCharType="end"/>
            </w:r>
          </w:hyperlink>
        </w:p>
        <w:p w14:paraId="297AFEEC" w14:textId="63BD01CC" w:rsidR="00942D91" w:rsidRDefault="00FA2002">
          <w:pPr>
            <w:pStyle w:val="TOC2"/>
            <w:rPr>
              <w:rFonts w:asciiTheme="minorHAnsi" w:eastAsiaTheme="minorEastAsia" w:hAnsiTheme="minorHAnsi" w:cstheme="minorBidi"/>
              <w:bCs w:val="0"/>
              <w:noProof/>
              <w:sz w:val="22"/>
              <w:szCs w:val="22"/>
              <w:lang w:eastAsia="en-AU"/>
            </w:rPr>
          </w:pPr>
          <w:hyperlink w:anchor="_Toc500516211" w:history="1">
            <w:r w:rsidR="00942D91" w:rsidRPr="00947BA5">
              <w:rPr>
                <w:rStyle w:val="Hyperlink"/>
                <w:noProof/>
              </w:rPr>
              <w:t>4.3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Additionality tests in other offset schemes</w:t>
            </w:r>
            <w:r w:rsidR="00942D91">
              <w:rPr>
                <w:noProof/>
                <w:webHidden/>
              </w:rPr>
              <w:tab/>
            </w:r>
            <w:r w:rsidR="00942D91">
              <w:rPr>
                <w:noProof/>
                <w:webHidden/>
              </w:rPr>
              <w:fldChar w:fldCharType="begin"/>
            </w:r>
            <w:r w:rsidR="00942D91">
              <w:rPr>
                <w:noProof/>
                <w:webHidden/>
              </w:rPr>
              <w:instrText xml:space="preserve"> PAGEREF _Toc500516211 \h </w:instrText>
            </w:r>
            <w:r w:rsidR="00942D91">
              <w:rPr>
                <w:noProof/>
                <w:webHidden/>
              </w:rPr>
            </w:r>
            <w:r w:rsidR="00942D91">
              <w:rPr>
                <w:noProof/>
                <w:webHidden/>
              </w:rPr>
              <w:fldChar w:fldCharType="separate"/>
            </w:r>
            <w:r>
              <w:rPr>
                <w:noProof/>
                <w:webHidden/>
              </w:rPr>
              <w:t>35</w:t>
            </w:r>
            <w:r w:rsidR="00942D91">
              <w:rPr>
                <w:noProof/>
                <w:webHidden/>
              </w:rPr>
              <w:fldChar w:fldCharType="end"/>
            </w:r>
          </w:hyperlink>
        </w:p>
        <w:p w14:paraId="6E926BD0" w14:textId="64FAE63E" w:rsidR="00942D91" w:rsidRDefault="00FA2002">
          <w:pPr>
            <w:pStyle w:val="TOC2"/>
            <w:rPr>
              <w:rFonts w:asciiTheme="minorHAnsi" w:eastAsiaTheme="minorEastAsia" w:hAnsiTheme="minorHAnsi" w:cstheme="minorBidi"/>
              <w:bCs w:val="0"/>
              <w:noProof/>
              <w:sz w:val="22"/>
              <w:szCs w:val="22"/>
              <w:lang w:eastAsia="en-AU"/>
            </w:rPr>
          </w:pPr>
          <w:hyperlink w:anchor="_Toc500516212" w:history="1">
            <w:r w:rsidR="00942D91" w:rsidRPr="00947BA5">
              <w:rPr>
                <w:rStyle w:val="Hyperlink"/>
                <w:noProof/>
              </w:rPr>
              <w:t>4.4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Additionality issues in methods</w:t>
            </w:r>
            <w:r w:rsidR="00942D91">
              <w:rPr>
                <w:noProof/>
                <w:webHidden/>
              </w:rPr>
              <w:tab/>
            </w:r>
            <w:r w:rsidR="00942D91">
              <w:rPr>
                <w:noProof/>
                <w:webHidden/>
              </w:rPr>
              <w:fldChar w:fldCharType="begin"/>
            </w:r>
            <w:r w:rsidR="00942D91">
              <w:rPr>
                <w:noProof/>
                <w:webHidden/>
              </w:rPr>
              <w:instrText xml:space="preserve"> PAGEREF _Toc500516212 \h </w:instrText>
            </w:r>
            <w:r w:rsidR="00942D91">
              <w:rPr>
                <w:noProof/>
                <w:webHidden/>
              </w:rPr>
            </w:r>
            <w:r w:rsidR="00942D91">
              <w:rPr>
                <w:noProof/>
                <w:webHidden/>
              </w:rPr>
              <w:fldChar w:fldCharType="separate"/>
            </w:r>
            <w:r>
              <w:rPr>
                <w:noProof/>
                <w:webHidden/>
              </w:rPr>
              <w:t>35</w:t>
            </w:r>
            <w:r w:rsidR="00942D91">
              <w:rPr>
                <w:noProof/>
                <w:webHidden/>
              </w:rPr>
              <w:fldChar w:fldCharType="end"/>
            </w:r>
          </w:hyperlink>
        </w:p>
        <w:p w14:paraId="023F00BB" w14:textId="085FD163" w:rsidR="00942D91" w:rsidRDefault="00FA2002">
          <w:pPr>
            <w:pStyle w:val="TOC2"/>
            <w:rPr>
              <w:rFonts w:asciiTheme="minorHAnsi" w:eastAsiaTheme="minorEastAsia" w:hAnsiTheme="minorHAnsi" w:cstheme="minorBidi"/>
              <w:bCs w:val="0"/>
              <w:noProof/>
              <w:sz w:val="22"/>
              <w:szCs w:val="22"/>
              <w:lang w:eastAsia="en-AU"/>
            </w:rPr>
          </w:pPr>
          <w:hyperlink w:anchor="_Toc500516213" w:history="1">
            <w:r w:rsidR="00942D91" w:rsidRPr="00947BA5">
              <w:rPr>
                <w:rStyle w:val="Hyperlink"/>
                <w:noProof/>
              </w:rPr>
              <w:t>4.5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Additionality performance of the Emissions Reduction Fund</w:t>
            </w:r>
            <w:r w:rsidR="00942D91">
              <w:rPr>
                <w:noProof/>
                <w:webHidden/>
              </w:rPr>
              <w:tab/>
            </w:r>
            <w:r w:rsidR="00942D91">
              <w:rPr>
                <w:noProof/>
                <w:webHidden/>
              </w:rPr>
              <w:fldChar w:fldCharType="begin"/>
            </w:r>
            <w:r w:rsidR="00942D91">
              <w:rPr>
                <w:noProof/>
                <w:webHidden/>
              </w:rPr>
              <w:instrText xml:space="preserve"> PAGEREF _Toc500516213 \h </w:instrText>
            </w:r>
            <w:r w:rsidR="00942D91">
              <w:rPr>
                <w:noProof/>
                <w:webHidden/>
              </w:rPr>
            </w:r>
            <w:r w:rsidR="00942D91">
              <w:rPr>
                <w:noProof/>
                <w:webHidden/>
              </w:rPr>
              <w:fldChar w:fldCharType="separate"/>
            </w:r>
            <w:r>
              <w:rPr>
                <w:noProof/>
                <w:webHidden/>
              </w:rPr>
              <w:t>40</w:t>
            </w:r>
            <w:r w:rsidR="00942D91">
              <w:rPr>
                <w:noProof/>
                <w:webHidden/>
              </w:rPr>
              <w:fldChar w:fldCharType="end"/>
            </w:r>
          </w:hyperlink>
        </w:p>
        <w:p w14:paraId="460BA448" w14:textId="5EF075EA"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14" w:history="1">
            <w:r w:rsidR="00942D91" w:rsidRPr="00947BA5">
              <w:rPr>
                <w:rStyle w:val="Hyperlink"/>
                <w:noProof/>
              </w:rPr>
              <w:t>Chapter 5.</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Permanence</w:t>
            </w:r>
            <w:r w:rsidR="00942D91">
              <w:rPr>
                <w:noProof/>
                <w:webHidden/>
              </w:rPr>
              <w:tab/>
            </w:r>
            <w:r w:rsidR="00942D91">
              <w:rPr>
                <w:noProof/>
                <w:webHidden/>
              </w:rPr>
              <w:fldChar w:fldCharType="begin"/>
            </w:r>
            <w:r w:rsidR="00942D91">
              <w:rPr>
                <w:noProof/>
                <w:webHidden/>
              </w:rPr>
              <w:instrText xml:space="preserve"> PAGEREF _Toc500516214 \h </w:instrText>
            </w:r>
            <w:r w:rsidR="00942D91">
              <w:rPr>
                <w:noProof/>
                <w:webHidden/>
              </w:rPr>
            </w:r>
            <w:r w:rsidR="00942D91">
              <w:rPr>
                <w:noProof/>
                <w:webHidden/>
              </w:rPr>
              <w:fldChar w:fldCharType="separate"/>
            </w:r>
            <w:r>
              <w:rPr>
                <w:noProof/>
                <w:webHidden/>
              </w:rPr>
              <w:t>42</w:t>
            </w:r>
            <w:r w:rsidR="00942D91">
              <w:rPr>
                <w:noProof/>
                <w:webHidden/>
              </w:rPr>
              <w:fldChar w:fldCharType="end"/>
            </w:r>
          </w:hyperlink>
        </w:p>
        <w:p w14:paraId="47AA274A" w14:textId="49E87FA1" w:rsidR="00942D91" w:rsidRDefault="00FA2002">
          <w:pPr>
            <w:pStyle w:val="TOC2"/>
            <w:rPr>
              <w:rFonts w:asciiTheme="minorHAnsi" w:eastAsiaTheme="minorEastAsia" w:hAnsiTheme="minorHAnsi" w:cstheme="minorBidi"/>
              <w:bCs w:val="0"/>
              <w:noProof/>
              <w:sz w:val="22"/>
              <w:szCs w:val="22"/>
              <w:lang w:eastAsia="en-AU"/>
            </w:rPr>
          </w:pPr>
          <w:hyperlink w:anchor="_Toc500516215" w:history="1">
            <w:r w:rsidR="00942D91" w:rsidRPr="00947BA5">
              <w:rPr>
                <w:rStyle w:val="Hyperlink"/>
                <w:noProof/>
              </w:rPr>
              <w:t>5.1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risk of a reversal in carbon stores</w:t>
            </w:r>
            <w:r w:rsidR="00942D91">
              <w:rPr>
                <w:noProof/>
                <w:webHidden/>
              </w:rPr>
              <w:tab/>
            </w:r>
            <w:r w:rsidR="00942D91">
              <w:rPr>
                <w:noProof/>
                <w:webHidden/>
              </w:rPr>
              <w:fldChar w:fldCharType="begin"/>
            </w:r>
            <w:r w:rsidR="00942D91">
              <w:rPr>
                <w:noProof/>
                <w:webHidden/>
              </w:rPr>
              <w:instrText xml:space="preserve"> PAGEREF _Toc500516215 \h </w:instrText>
            </w:r>
            <w:r w:rsidR="00942D91">
              <w:rPr>
                <w:noProof/>
                <w:webHidden/>
              </w:rPr>
            </w:r>
            <w:r w:rsidR="00942D91">
              <w:rPr>
                <w:noProof/>
                <w:webHidden/>
              </w:rPr>
              <w:fldChar w:fldCharType="separate"/>
            </w:r>
            <w:r>
              <w:rPr>
                <w:noProof/>
                <w:webHidden/>
              </w:rPr>
              <w:t>42</w:t>
            </w:r>
            <w:r w:rsidR="00942D91">
              <w:rPr>
                <w:noProof/>
                <w:webHidden/>
              </w:rPr>
              <w:fldChar w:fldCharType="end"/>
            </w:r>
          </w:hyperlink>
        </w:p>
        <w:p w14:paraId="65B21726" w14:textId="7775135C" w:rsidR="00942D91" w:rsidRDefault="00FA2002">
          <w:pPr>
            <w:pStyle w:val="TOC2"/>
            <w:rPr>
              <w:rFonts w:asciiTheme="minorHAnsi" w:eastAsiaTheme="minorEastAsia" w:hAnsiTheme="minorHAnsi" w:cstheme="minorBidi"/>
              <w:bCs w:val="0"/>
              <w:noProof/>
              <w:sz w:val="22"/>
              <w:szCs w:val="22"/>
              <w:lang w:eastAsia="en-AU"/>
            </w:rPr>
          </w:pPr>
          <w:hyperlink w:anchor="_Toc500516216" w:history="1">
            <w:r w:rsidR="00942D91" w:rsidRPr="00947BA5">
              <w:rPr>
                <w:rStyle w:val="Hyperlink"/>
                <w:noProof/>
              </w:rPr>
              <w:t>5.2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importance of permanence</w:t>
            </w:r>
            <w:r w:rsidR="00942D91">
              <w:rPr>
                <w:noProof/>
                <w:webHidden/>
              </w:rPr>
              <w:tab/>
            </w:r>
            <w:r w:rsidR="00942D91">
              <w:rPr>
                <w:noProof/>
                <w:webHidden/>
              </w:rPr>
              <w:fldChar w:fldCharType="begin"/>
            </w:r>
            <w:r w:rsidR="00942D91">
              <w:rPr>
                <w:noProof/>
                <w:webHidden/>
              </w:rPr>
              <w:instrText xml:space="preserve"> PAGEREF _Toc500516216 \h </w:instrText>
            </w:r>
            <w:r w:rsidR="00942D91">
              <w:rPr>
                <w:noProof/>
                <w:webHidden/>
              </w:rPr>
            </w:r>
            <w:r w:rsidR="00942D91">
              <w:rPr>
                <w:noProof/>
                <w:webHidden/>
              </w:rPr>
              <w:fldChar w:fldCharType="separate"/>
            </w:r>
            <w:r>
              <w:rPr>
                <w:noProof/>
                <w:webHidden/>
              </w:rPr>
              <w:t>43</w:t>
            </w:r>
            <w:r w:rsidR="00942D91">
              <w:rPr>
                <w:noProof/>
                <w:webHidden/>
              </w:rPr>
              <w:fldChar w:fldCharType="end"/>
            </w:r>
          </w:hyperlink>
        </w:p>
        <w:p w14:paraId="7C2F01C4" w14:textId="6174A263" w:rsidR="00942D91" w:rsidRDefault="00FA2002">
          <w:pPr>
            <w:pStyle w:val="TOC2"/>
            <w:rPr>
              <w:rFonts w:asciiTheme="minorHAnsi" w:eastAsiaTheme="minorEastAsia" w:hAnsiTheme="minorHAnsi" w:cstheme="minorBidi"/>
              <w:bCs w:val="0"/>
              <w:noProof/>
              <w:sz w:val="22"/>
              <w:szCs w:val="22"/>
              <w:lang w:eastAsia="en-AU"/>
            </w:rPr>
          </w:pPr>
          <w:hyperlink w:anchor="_Toc500516217" w:history="1">
            <w:r w:rsidR="00942D91" w:rsidRPr="00947BA5">
              <w:rPr>
                <w:rStyle w:val="Hyperlink"/>
                <w:noProof/>
              </w:rPr>
              <w:t>5.3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Scheme participants and information provision around the compliance obligation</w:t>
            </w:r>
            <w:r w:rsidR="00942D91">
              <w:rPr>
                <w:noProof/>
                <w:webHidden/>
              </w:rPr>
              <w:tab/>
            </w:r>
            <w:r w:rsidR="00942D91">
              <w:rPr>
                <w:noProof/>
                <w:webHidden/>
              </w:rPr>
              <w:fldChar w:fldCharType="begin"/>
            </w:r>
            <w:r w:rsidR="00942D91">
              <w:rPr>
                <w:noProof/>
                <w:webHidden/>
              </w:rPr>
              <w:instrText xml:space="preserve"> PAGEREF _Toc500516217 \h </w:instrText>
            </w:r>
            <w:r w:rsidR="00942D91">
              <w:rPr>
                <w:noProof/>
                <w:webHidden/>
              </w:rPr>
            </w:r>
            <w:r w:rsidR="00942D91">
              <w:rPr>
                <w:noProof/>
                <w:webHidden/>
              </w:rPr>
              <w:fldChar w:fldCharType="separate"/>
            </w:r>
            <w:r>
              <w:rPr>
                <w:noProof/>
                <w:webHidden/>
              </w:rPr>
              <w:t>43</w:t>
            </w:r>
            <w:r w:rsidR="00942D91">
              <w:rPr>
                <w:noProof/>
                <w:webHidden/>
              </w:rPr>
              <w:fldChar w:fldCharType="end"/>
            </w:r>
          </w:hyperlink>
        </w:p>
        <w:p w14:paraId="3263AACC" w14:textId="52869471" w:rsidR="00942D91" w:rsidRDefault="00FA2002">
          <w:pPr>
            <w:pStyle w:val="TOC2"/>
            <w:rPr>
              <w:rFonts w:asciiTheme="minorHAnsi" w:eastAsiaTheme="minorEastAsia" w:hAnsiTheme="minorHAnsi" w:cstheme="minorBidi"/>
              <w:bCs w:val="0"/>
              <w:noProof/>
              <w:sz w:val="22"/>
              <w:szCs w:val="22"/>
              <w:lang w:eastAsia="en-AU"/>
            </w:rPr>
          </w:pPr>
          <w:hyperlink w:anchor="_Toc500516218" w:history="1">
            <w:r w:rsidR="00942D91" w:rsidRPr="00947BA5">
              <w:rPr>
                <w:rStyle w:val="Hyperlink"/>
                <w:noProof/>
              </w:rPr>
              <w:t>5.4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Information collection to determine if carbon stores have been lost</w:t>
            </w:r>
            <w:r w:rsidR="00942D91">
              <w:rPr>
                <w:noProof/>
                <w:webHidden/>
              </w:rPr>
              <w:tab/>
            </w:r>
            <w:r w:rsidR="00942D91">
              <w:rPr>
                <w:noProof/>
                <w:webHidden/>
              </w:rPr>
              <w:fldChar w:fldCharType="begin"/>
            </w:r>
            <w:r w:rsidR="00942D91">
              <w:rPr>
                <w:noProof/>
                <w:webHidden/>
              </w:rPr>
              <w:instrText xml:space="preserve"> PAGEREF _Toc500516218 \h </w:instrText>
            </w:r>
            <w:r w:rsidR="00942D91">
              <w:rPr>
                <w:noProof/>
                <w:webHidden/>
              </w:rPr>
            </w:r>
            <w:r w:rsidR="00942D91">
              <w:rPr>
                <w:noProof/>
                <w:webHidden/>
              </w:rPr>
              <w:fldChar w:fldCharType="separate"/>
            </w:r>
            <w:r>
              <w:rPr>
                <w:noProof/>
                <w:webHidden/>
              </w:rPr>
              <w:t>44</w:t>
            </w:r>
            <w:r w:rsidR="00942D91">
              <w:rPr>
                <w:noProof/>
                <w:webHidden/>
              </w:rPr>
              <w:fldChar w:fldCharType="end"/>
            </w:r>
          </w:hyperlink>
        </w:p>
        <w:p w14:paraId="349C31D8" w14:textId="0FF9A326" w:rsidR="00942D91" w:rsidRDefault="00FA2002">
          <w:pPr>
            <w:pStyle w:val="TOC2"/>
            <w:rPr>
              <w:rFonts w:asciiTheme="minorHAnsi" w:eastAsiaTheme="minorEastAsia" w:hAnsiTheme="minorHAnsi" w:cstheme="minorBidi"/>
              <w:bCs w:val="0"/>
              <w:noProof/>
              <w:sz w:val="22"/>
              <w:szCs w:val="22"/>
              <w:lang w:eastAsia="en-AU"/>
            </w:rPr>
          </w:pPr>
          <w:hyperlink w:anchor="_Toc500516219" w:history="1">
            <w:r w:rsidR="00942D91" w:rsidRPr="00947BA5">
              <w:rPr>
                <w:rStyle w:val="Hyperlink"/>
                <w:noProof/>
              </w:rPr>
              <w:t>5.5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Enforcement powers</w:t>
            </w:r>
            <w:r w:rsidR="00942D91">
              <w:rPr>
                <w:noProof/>
                <w:webHidden/>
              </w:rPr>
              <w:tab/>
            </w:r>
            <w:r w:rsidR="00942D91">
              <w:rPr>
                <w:noProof/>
                <w:webHidden/>
              </w:rPr>
              <w:fldChar w:fldCharType="begin"/>
            </w:r>
            <w:r w:rsidR="00942D91">
              <w:rPr>
                <w:noProof/>
                <w:webHidden/>
              </w:rPr>
              <w:instrText xml:space="preserve"> PAGEREF _Toc500516219 \h </w:instrText>
            </w:r>
            <w:r w:rsidR="00942D91">
              <w:rPr>
                <w:noProof/>
                <w:webHidden/>
              </w:rPr>
            </w:r>
            <w:r w:rsidR="00942D91">
              <w:rPr>
                <w:noProof/>
                <w:webHidden/>
              </w:rPr>
              <w:fldChar w:fldCharType="separate"/>
            </w:r>
            <w:r>
              <w:rPr>
                <w:noProof/>
                <w:webHidden/>
              </w:rPr>
              <w:t>44</w:t>
            </w:r>
            <w:r w:rsidR="00942D91">
              <w:rPr>
                <w:noProof/>
                <w:webHidden/>
              </w:rPr>
              <w:fldChar w:fldCharType="end"/>
            </w:r>
          </w:hyperlink>
        </w:p>
        <w:p w14:paraId="67310E39" w14:textId="76F49216" w:rsidR="00942D91" w:rsidRDefault="00FA2002">
          <w:pPr>
            <w:pStyle w:val="TOC2"/>
            <w:rPr>
              <w:rFonts w:asciiTheme="minorHAnsi" w:eastAsiaTheme="minorEastAsia" w:hAnsiTheme="minorHAnsi" w:cstheme="minorBidi"/>
              <w:bCs w:val="0"/>
              <w:noProof/>
              <w:sz w:val="22"/>
              <w:szCs w:val="22"/>
              <w:lang w:eastAsia="en-AU"/>
            </w:rPr>
          </w:pPr>
          <w:hyperlink w:anchor="_Toc500516220" w:history="1">
            <w:r w:rsidR="00942D91" w:rsidRPr="00947BA5">
              <w:rPr>
                <w:rStyle w:val="Hyperlink"/>
                <w:noProof/>
              </w:rPr>
              <w:t>5.6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Visibility of permanence obligations</w:t>
            </w:r>
            <w:r w:rsidR="00942D91">
              <w:rPr>
                <w:noProof/>
                <w:webHidden/>
              </w:rPr>
              <w:tab/>
            </w:r>
            <w:r w:rsidR="00942D91">
              <w:rPr>
                <w:noProof/>
                <w:webHidden/>
              </w:rPr>
              <w:fldChar w:fldCharType="begin"/>
            </w:r>
            <w:r w:rsidR="00942D91">
              <w:rPr>
                <w:noProof/>
                <w:webHidden/>
              </w:rPr>
              <w:instrText xml:space="preserve"> PAGEREF _Toc500516220 \h </w:instrText>
            </w:r>
            <w:r w:rsidR="00942D91">
              <w:rPr>
                <w:noProof/>
                <w:webHidden/>
              </w:rPr>
            </w:r>
            <w:r w:rsidR="00942D91">
              <w:rPr>
                <w:noProof/>
                <w:webHidden/>
              </w:rPr>
              <w:fldChar w:fldCharType="separate"/>
            </w:r>
            <w:r>
              <w:rPr>
                <w:noProof/>
                <w:webHidden/>
              </w:rPr>
              <w:t>47</w:t>
            </w:r>
            <w:r w:rsidR="00942D91">
              <w:rPr>
                <w:noProof/>
                <w:webHidden/>
              </w:rPr>
              <w:fldChar w:fldCharType="end"/>
            </w:r>
          </w:hyperlink>
        </w:p>
        <w:p w14:paraId="5FFB89FB" w14:textId="1F95596B" w:rsidR="00942D91" w:rsidRDefault="00FA2002">
          <w:pPr>
            <w:pStyle w:val="TOC2"/>
            <w:rPr>
              <w:rFonts w:asciiTheme="minorHAnsi" w:eastAsiaTheme="minorEastAsia" w:hAnsiTheme="minorHAnsi" w:cstheme="minorBidi"/>
              <w:bCs w:val="0"/>
              <w:noProof/>
              <w:sz w:val="22"/>
              <w:szCs w:val="22"/>
              <w:lang w:eastAsia="en-AU"/>
            </w:rPr>
          </w:pPr>
          <w:hyperlink w:anchor="_Toc500516221" w:history="1">
            <w:r w:rsidR="00942D91" w:rsidRPr="00947BA5">
              <w:rPr>
                <w:rStyle w:val="Hyperlink"/>
                <w:noProof/>
              </w:rPr>
              <w:t>5.7</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implications of permanence obligations</w:t>
            </w:r>
            <w:r w:rsidR="00942D91">
              <w:rPr>
                <w:noProof/>
                <w:webHidden/>
              </w:rPr>
              <w:tab/>
            </w:r>
            <w:r w:rsidR="00942D91">
              <w:rPr>
                <w:noProof/>
                <w:webHidden/>
              </w:rPr>
              <w:fldChar w:fldCharType="begin"/>
            </w:r>
            <w:r w:rsidR="00942D91">
              <w:rPr>
                <w:noProof/>
                <w:webHidden/>
              </w:rPr>
              <w:instrText xml:space="preserve"> PAGEREF _Toc500516221 \h </w:instrText>
            </w:r>
            <w:r w:rsidR="00942D91">
              <w:rPr>
                <w:noProof/>
                <w:webHidden/>
              </w:rPr>
            </w:r>
            <w:r w:rsidR="00942D91">
              <w:rPr>
                <w:noProof/>
                <w:webHidden/>
              </w:rPr>
              <w:fldChar w:fldCharType="separate"/>
            </w:r>
            <w:r>
              <w:rPr>
                <w:noProof/>
                <w:webHidden/>
              </w:rPr>
              <w:t>48</w:t>
            </w:r>
            <w:r w:rsidR="00942D91">
              <w:rPr>
                <w:noProof/>
                <w:webHidden/>
              </w:rPr>
              <w:fldChar w:fldCharType="end"/>
            </w:r>
          </w:hyperlink>
        </w:p>
        <w:p w14:paraId="4FE943E4" w14:textId="3F94286D" w:rsidR="00942D91" w:rsidRDefault="00FA2002">
          <w:pPr>
            <w:pStyle w:val="TOC2"/>
            <w:rPr>
              <w:rFonts w:asciiTheme="minorHAnsi" w:eastAsiaTheme="minorEastAsia" w:hAnsiTheme="minorHAnsi" w:cstheme="minorBidi"/>
              <w:bCs w:val="0"/>
              <w:noProof/>
              <w:sz w:val="22"/>
              <w:szCs w:val="22"/>
              <w:lang w:eastAsia="en-AU"/>
            </w:rPr>
          </w:pPr>
          <w:hyperlink w:anchor="_Toc500516222" w:history="1">
            <w:r w:rsidR="00942D91" w:rsidRPr="00947BA5">
              <w:rPr>
                <w:rStyle w:val="Hyperlink"/>
                <w:noProof/>
              </w:rPr>
              <w:t>5.8</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Is the risk of reversal buffer set at the correct level?</w:t>
            </w:r>
            <w:r w:rsidR="00942D91">
              <w:rPr>
                <w:noProof/>
                <w:webHidden/>
              </w:rPr>
              <w:tab/>
            </w:r>
            <w:r w:rsidR="00942D91">
              <w:rPr>
                <w:noProof/>
                <w:webHidden/>
              </w:rPr>
              <w:fldChar w:fldCharType="begin"/>
            </w:r>
            <w:r w:rsidR="00942D91">
              <w:rPr>
                <w:noProof/>
                <w:webHidden/>
              </w:rPr>
              <w:instrText xml:space="preserve"> PAGEREF _Toc500516222 \h </w:instrText>
            </w:r>
            <w:r w:rsidR="00942D91">
              <w:rPr>
                <w:noProof/>
                <w:webHidden/>
              </w:rPr>
            </w:r>
            <w:r w:rsidR="00942D91">
              <w:rPr>
                <w:noProof/>
                <w:webHidden/>
              </w:rPr>
              <w:fldChar w:fldCharType="separate"/>
            </w:r>
            <w:r>
              <w:rPr>
                <w:noProof/>
                <w:webHidden/>
              </w:rPr>
              <w:t>48</w:t>
            </w:r>
            <w:r w:rsidR="00942D91">
              <w:rPr>
                <w:noProof/>
                <w:webHidden/>
              </w:rPr>
              <w:fldChar w:fldCharType="end"/>
            </w:r>
          </w:hyperlink>
        </w:p>
        <w:p w14:paraId="42DE5646" w14:textId="31DFAD2C" w:rsidR="00942D91" w:rsidRDefault="00FA2002">
          <w:pPr>
            <w:pStyle w:val="TOC2"/>
            <w:rPr>
              <w:rFonts w:asciiTheme="minorHAnsi" w:eastAsiaTheme="minorEastAsia" w:hAnsiTheme="minorHAnsi" w:cstheme="minorBidi"/>
              <w:bCs w:val="0"/>
              <w:noProof/>
              <w:sz w:val="22"/>
              <w:szCs w:val="22"/>
              <w:lang w:eastAsia="en-AU"/>
            </w:rPr>
          </w:pPr>
          <w:hyperlink w:anchor="_Toc500516223" w:history="1">
            <w:r w:rsidR="00942D91" w:rsidRPr="00947BA5">
              <w:rPr>
                <w:rStyle w:val="Hyperlink"/>
                <w:noProof/>
              </w:rPr>
              <w:t>5.9</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Is the permanence period discount set at the correct level?</w:t>
            </w:r>
            <w:r w:rsidR="00942D91">
              <w:rPr>
                <w:noProof/>
                <w:webHidden/>
              </w:rPr>
              <w:tab/>
            </w:r>
            <w:r w:rsidR="00942D91">
              <w:rPr>
                <w:noProof/>
                <w:webHidden/>
              </w:rPr>
              <w:fldChar w:fldCharType="begin"/>
            </w:r>
            <w:r w:rsidR="00942D91">
              <w:rPr>
                <w:noProof/>
                <w:webHidden/>
              </w:rPr>
              <w:instrText xml:space="preserve"> PAGEREF _Toc500516223 \h </w:instrText>
            </w:r>
            <w:r w:rsidR="00942D91">
              <w:rPr>
                <w:noProof/>
                <w:webHidden/>
              </w:rPr>
            </w:r>
            <w:r w:rsidR="00942D91">
              <w:rPr>
                <w:noProof/>
                <w:webHidden/>
              </w:rPr>
              <w:fldChar w:fldCharType="separate"/>
            </w:r>
            <w:r>
              <w:rPr>
                <w:noProof/>
                <w:webHidden/>
              </w:rPr>
              <w:t>49</w:t>
            </w:r>
            <w:r w:rsidR="00942D91">
              <w:rPr>
                <w:noProof/>
                <w:webHidden/>
              </w:rPr>
              <w:fldChar w:fldCharType="end"/>
            </w:r>
          </w:hyperlink>
        </w:p>
        <w:p w14:paraId="66A08A1A" w14:textId="6D034713"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24" w:history="1">
            <w:r w:rsidR="00942D91" w:rsidRPr="00947BA5">
              <w:rPr>
                <w:rStyle w:val="Hyperlink"/>
                <w:noProof/>
              </w:rPr>
              <w:t>Chapter 6.</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Carbon service providers and aggregation</w:t>
            </w:r>
            <w:r w:rsidR="00942D91">
              <w:rPr>
                <w:noProof/>
                <w:webHidden/>
              </w:rPr>
              <w:tab/>
            </w:r>
            <w:r w:rsidR="00942D91">
              <w:rPr>
                <w:noProof/>
                <w:webHidden/>
              </w:rPr>
              <w:fldChar w:fldCharType="begin"/>
            </w:r>
            <w:r w:rsidR="00942D91">
              <w:rPr>
                <w:noProof/>
                <w:webHidden/>
              </w:rPr>
              <w:instrText xml:space="preserve"> PAGEREF _Toc500516224 \h </w:instrText>
            </w:r>
            <w:r w:rsidR="00942D91">
              <w:rPr>
                <w:noProof/>
                <w:webHidden/>
              </w:rPr>
            </w:r>
            <w:r w:rsidR="00942D91">
              <w:rPr>
                <w:noProof/>
                <w:webHidden/>
              </w:rPr>
              <w:fldChar w:fldCharType="separate"/>
            </w:r>
            <w:r>
              <w:rPr>
                <w:noProof/>
                <w:webHidden/>
              </w:rPr>
              <w:t>51</w:t>
            </w:r>
            <w:r w:rsidR="00942D91">
              <w:rPr>
                <w:noProof/>
                <w:webHidden/>
              </w:rPr>
              <w:fldChar w:fldCharType="end"/>
            </w:r>
          </w:hyperlink>
        </w:p>
        <w:p w14:paraId="37DEFD02" w14:textId="31CA98CB" w:rsidR="00942D91" w:rsidRDefault="00FA2002">
          <w:pPr>
            <w:pStyle w:val="TOC2"/>
            <w:rPr>
              <w:rFonts w:asciiTheme="minorHAnsi" w:eastAsiaTheme="minorEastAsia" w:hAnsiTheme="minorHAnsi" w:cstheme="minorBidi"/>
              <w:bCs w:val="0"/>
              <w:noProof/>
              <w:sz w:val="22"/>
              <w:szCs w:val="22"/>
              <w:lang w:eastAsia="en-AU"/>
            </w:rPr>
          </w:pPr>
          <w:hyperlink w:anchor="_Toc500516225" w:history="1">
            <w:r w:rsidR="00942D91" w:rsidRPr="00947BA5">
              <w:rPr>
                <w:rStyle w:val="Hyperlink"/>
                <w:noProof/>
              </w:rPr>
              <w:t>6.1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Identifying carbon service providers</w:t>
            </w:r>
            <w:r w:rsidR="00942D91">
              <w:rPr>
                <w:noProof/>
                <w:webHidden/>
              </w:rPr>
              <w:tab/>
            </w:r>
            <w:r w:rsidR="00942D91">
              <w:rPr>
                <w:noProof/>
                <w:webHidden/>
              </w:rPr>
              <w:fldChar w:fldCharType="begin"/>
            </w:r>
            <w:r w:rsidR="00942D91">
              <w:rPr>
                <w:noProof/>
                <w:webHidden/>
              </w:rPr>
              <w:instrText xml:space="preserve"> PAGEREF _Toc500516225 \h </w:instrText>
            </w:r>
            <w:r w:rsidR="00942D91">
              <w:rPr>
                <w:noProof/>
                <w:webHidden/>
              </w:rPr>
            </w:r>
            <w:r w:rsidR="00942D91">
              <w:rPr>
                <w:noProof/>
                <w:webHidden/>
              </w:rPr>
              <w:fldChar w:fldCharType="separate"/>
            </w:r>
            <w:r>
              <w:rPr>
                <w:noProof/>
                <w:webHidden/>
              </w:rPr>
              <w:t>51</w:t>
            </w:r>
            <w:r w:rsidR="00942D91">
              <w:rPr>
                <w:noProof/>
                <w:webHidden/>
              </w:rPr>
              <w:fldChar w:fldCharType="end"/>
            </w:r>
          </w:hyperlink>
        </w:p>
        <w:p w14:paraId="009D0F58" w14:textId="44546502" w:rsidR="00942D91" w:rsidRDefault="00FA2002">
          <w:pPr>
            <w:pStyle w:val="TOC2"/>
            <w:rPr>
              <w:rFonts w:asciiTheme="minorHAnsi" w:eastAsiaTheme="minorEastAsia" w:hAnsiTheme="minorHAnsi" w:cstheme="minorBidi"/>
              <w:bCs w:val="0"/>
              <w:noProof/>
              <w:sz w:val="22"/>
              <w:szCs w:val="22"/>
              <w:lang w:eastAsia="en-AU"/>
            </w:rPr>
          </w:pPr>
          <w:hyperlink w:anchor="_Toc500516226" w:history="1">
            <w:r w:rsidR="00942D91" w:rsidRPr="00947BA5">
              <w:rPr>
                <w:rStyle w:val="Hyperlink"/>
                <w:noProof/>
              </w:rPr>
              <w:t>6.2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Market concentration</w:t>
            </w:r>
            <w:r w:rsidR="00942D91">
              <w:rPr>
                <w:noProof/>
                <w:webHidden/>
              </w:rPr>
              <w:tab/>
            </w:r>
            <w:r w:rsidR="00942D91">
              <w:rPr>
                <w:noProof/>
                <w:webHidden/>
              </w:rPr>
              <w:fldChar w:fldCharType="begin"/>
            </w:r>
            <w:r w:rsidR="00942D91">
              <w:rPr>
                <w:noProof/>
                <w:webHidden/>
              </w:rPr>
              <w:instrText xml:space="preserve"> PAGEREF _Toc500516226 \h </w:instrText>
            </w:r>
            <w:r w:rsidR="00942D91">
              <w:rPr>
                <w:noProof/>
                <w:webHidden/>
              </w:rPr>
            </w:r>
            <w:r w:rsidR="00942D91">
              <w:rPr>
                <w:noProof/>
                <w:webHidden/>
              </w:rPr>
              <w:fldChar w:fldCharType="separate"/>
            </w:r>
            <w:r>
              <w:rPr>
                <w:noProof/>
                <w:webHidden/>
              </w:rPr>
              <w:t>51</w:t>
            </w:r>
            <w:r w:rsidR="00942D91">
              <w:rPr>
                <w:noProof/>
                <w:webHidden/>
              </w:rPr>
              <w:fldChar w:fldCharType="end"/>
            </w:r>
          </w:hyperlink>
        </w:p>
        <w:p w14:paraId="24625FBD" w14:textId="74B3DF94" w:rsidR="00942D91" w:rsidRDefault="00FA2002">
          <w:pPr>
            <w:pStyle w:val="TOC2"/>
            <w:rPr>
              <w:rFonts w:asciiTheme="minorHAnsi" w:eastAsiaTheme="minorEastAsia" w:hAnsiTheme="minorHAnsi" w:cstheme="minorBidi"/>
              <w:bCs w:val="0"/>
              <w:noProof/>
              <w:sz w:val="22"/>
              <w:szCs w:val="22"/>
              <w:lang w:eastAsia="en-AU"/>
            </w:rPr>
          </w:pPr>
          <w:hyperlink w:anchor="_Toc500516227" w:history="1">
            <w:r w:rsidR="00942D91" w:rsidRPr="00947BA5">
              <w:rPr>
                <w:rStyle w:val="Hyperlink"/>
                <w:noProof/>
              </w:rPr>
              <w:t>6.3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Industry-led code of conduct</w:t>
            </w:r>
            <w:r w:rsidR="00942D91">
              <w:rPr>
                <w:noProof/>
                <w:webHidden/>
              </w:rPr>
              <w:tab/>
            </w:r>
            <w:r w:rsidR="00942D91">
              <w:rPr>
                <w:noProof/>
                <w:webHidden/>
              </w:rPr>
              <w:fldChar w:fldCharType="begin"/>
            </w:r>
            <w:r w:rsidR="00942D91">
              <w:rPr>
                <w:noProof/>
                <w:webHidden/>
              </w:rPr>
              <w:instrText xml:space="preserve"> PAGEREF _Toc500516227 \h </w:instrText>
            </w:r>
            <w:r w:rsidR="00942D91">
              <w:rPr>
                <w:noProof/>
                <w:webHidden/>
              </w:rPr>
            </w:r>
            <w:r w:rsidR="00942D91">
              <w:rPr>
                <w:noProof/>
                <w:webHidden/>
              </w:rPr>
              <w:fldChar w:fldCharType="separate"/>
            </w:r>
            <w:r>
              <w:rPr>
                <w:noProof/>
                <w:webHidden/>
              </w:rPr>
              <w:t>53</w:t>
            </w:r>
            <w:r w:rsidR="00942D91">
              <w:rPr>
                <w:noProof/>
                <w:webHidden/>
              </w:rPr>
              <w:fldChar w:fldCharType="end"/>
            </w:r>
          </w:hyperlink>
        </w:p>
        <w:p w14:paraId="6CFF950C" w14:textId="33953983" w:rsidR="00942D91" w:rsidRDefault="00FA2002">
          <w:pPr>
            <w:pStyle w:val="TOC2"/>
            <w:rPr>
              <w:rFonts w:asciiTheme="minorHAnsi" w:eastAsiaTheme="minorEastAsia" w:hAnsiTheme="minorHAnsi" w:cstheme="minorBidi"/>
              <w:bCs w:val="0"/>
              <w:noProof/>
              <w:sz w:val="22"/>
              <w:szCs w:val="22"/>
              <w:lang w:eastAsia="en-AU"/>
            </w:rPr>
          </w:pPr>
          <w:hyperlink w:anchor="_Toc500516228" w:history="1">
            <w:r w:rsidR="00942D91" w:rsidRPr="00947BA5">
              <w:rPr>
                <w:rStyle w:val="Hyperlink"/>
                <w:noProof/>
              </w:rPr>
              <w:t>6.4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Increasing transparency</w:t>
            </w:r>
            <w:r w:rsidR="00942D91">
              <w:rPr>
                <w:noProof/>
                <w:webHidden/>
              </w:rPr>
              <w:tab/>
            </w:r>
            <w:r w:rsidR="00942D91">
              <w:rPr>
                <w:noProof/>
                <w:webHidden/>
              </w:rPr>
              <w:fldChar w:fldCharType="begin"/>
            </w:r>
            <w:r w:rsidR="00942D91">
              <w:rPr>
                <w:noProof/>
                <w:webHidden/>
              </w:rPr>
              <w:instrText xml:space="preserve"> PAGEREF _Toc500516228 \h </w:instrText>
            </w:r>
            <w:r w:rsidR="00942D91">
              <w:rPr>
                <w:noProof/>
                <w:webHidden/>
              </w:rPr>
            </w:r>
            <w:r w:rsidR="00942D91">
              <w:rPr>
                <w:noProof/>
                <w:webHidden/>
              </w:rPr>
              <w:fldChar w:fldCharType="separate"/>
            </w:r>
            <w:r>
              <w:rPr>
                <w:noProof/>
                <w:webHidden/>
              </w:rPr>
              <w:t>53</w:t>
            </w:r>
            <w:r w:rsidR="00942D91">
              <w:rPr>
                <w:noProof/>
                <w:webHidden/>
              </w:rPr>
              <w:fldChar w:fldCharType="end"/>
            </w:r>
          </w:hyperlink>
        </w:p>
        <w:p w14:paraId="2405EC54" w14:textId="7ECC1D18" w:rsidR="00942D91" w:rsidRDefault="00FA2002">
          <w:pPr>
            <w:pStyle w:val="TOC2"/>
            <w:rPr>
              <w:rFonts w:asciiTheme="minorHAnsi" w:eastAsiaTheme="minorEastAsia" w:hAnsiTheme="minorHAnsi" w:cstheme="minorBidi"/>
              <w:bCs w:val="0"/>
              <w:noProof/>
              <w:sz w:val="22"/>
              <w:szCs w:val="22"/>
              <w:lang w:eastAsia="en-AU"/>
            </w:rPr>
          </w:pPr>
          <w:hyperlink w:anchor="_Toc500516229" w:history="1">
            <w:r w:rsidR="00942D91" w:rsidRPr="00947BA5">
              <w:rPr>
                <w:rStyle w:val="Hyperlink"/>
                <w:noProof/>
              </w:rPr>
              <w:t>6.5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Extending the fit and proper person test to agents</w:t>
            </w:r>
            <w:r w:rsidR="00942D91">
              <w:rPr>
                <w:noProof/>
                <w:webHidden/>
              </w:rPr>
              <w:tab/>
            </w:r>
            <w:r w:rsidR="00942D91">
              <w:rPr>
                <w:noProof/>
                <w:webHidden/>
              </w:rPr>
              <w:fldChar w:fldCharType="begin"/>
            </w:r>
            <w:r w:rsidR="00942D91">
              <w:rPr>
                <w:noProof/>
                <w:webHidden/>
              </w:rPr>
              <w:instrText xml:space="preserve"> PAGEREF _Toc500516229 \h </w:instrText>
            </w:r>
            <w:r w:rsidR="00942D91">
              <w:rPr>
                <w:noProof/>
                <w:webHidden/>
              </w:rPr>
            </w:r>
            <w:r w:rsidR="00942D91">
              <w:rPr>
                <w:noProof/>
                <w:webHidden/>
              </w:rPr>
              <w:fldChar w:fldCharType="separate"/>
            </w:r>
            <w:r>
              <w:rPr>
                <w:noProof/>
                <w:webHidden/>
              </w:rPr>
              <w:t>54</w:t>
            </w:r>
            <w:r w:rsidR="00942D91">
              <w:rPr>
                <w:noProof/>
                <w:webHidden/>
              </w:rPr>
              <w:fldChar w:fldCharType="end"/>
            </w:r>
          </w:hyperlink>
        </w:p>
        <w:p w14:paraId="1248113C" w14:textId="77851EFF" w:rsidR="00942D91" w:rsidRDefault="00FA2002">
          <w:pPr>
            <w:pStyle w:val="TOC2"/>
            <w:rPr>
              <w:rFonts w:asciiTheme="minorHAnsi" w:eastAsiaTheme="minorEastAsia" w:hAnsiTheme="minorHAnsi" w:cstheme="minorBidi"/>
              <w:bCs w:val="0"/>
              <w:noProof/>
              <w:sz w:val="22"/>
              <w:szCs w:val="22"/>
              <w:lang w:eastAsia="en-AU"/>
            </w:rPr>
          </w:pPr>
          <w:hyperlink w:anchor="_Toc500516230" w:history="1">
            <w:r w:rsidR="00942D91" w:rsidRPr="00947BA5">
              <w:rPr>
                <w:rStyle w:val="Hyperlink"/>
                <w:noProof/>
              </w:rPr>
              <w:t>6.6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Aggregation</w:t>
            </w:r>
            <w:r w:rsidR="00942D91">
              <w:rPr>
                <w:noProof/>
                <w:webHidden/>
              </w:rPr>
              <w:tab/>
            </w:r>
            <w:r w:rsidR="00942D91">
              <w:rPr>
                <w:noProof/>
                <w:webHidden/>
              </w:rPr>
              <w:fldChar w:fldCharType="begin"/>
            </w:r>
            <w:r w:rsidR="00942D91">
              <w:rPr>
                <w:noProof/>
                <w:webHidden/>
              </w:rPr>
              <w:instrText xml:space="preserve"> PAGEREF _Toc500516230 \h </w:instrText>
            </w:r>
            <w:r w:rsidR="00942D91">
              <w:rPr>
                <w:noProof/>
                <w:webHidden/>
              </w:rPr>
            </w:r>
            <w:r w:rsidR="00942D91">
              <w:rPr>
                <w:noProof/>
                <w:webHidden/>
              </w:rPr>
              <w:fldChar w:fldCharType="separate"/>
            </w:r>
            <w:r>
              <w:rPr>
                <w:noProof/>
                <w:webHidden/>
              </w:rPr>
              <w:t>54</w:t>
            </w:r>
            <w:r w:rsidR="00942D91">
              <w:rPr>
                <w:noProof/>
                <w:webHidden/>
              </w:rPr>
              <w:fldChar w:fldCharType="end"/>
            </w:r>
          </w:hyperlink>
        </w:p>
        <w:p w14:paraId="71C9DF8B" w14:textId="49031173" w:rsidR="00942D91" w:rsidRDefault="00FA2002">
          <w:pPr>
            <w:pStyle w:val="TOC2"/>
            <w:rPr>
              <w:rFonts w:asciiTheme="minorHAnsi" w:eastAsiaTheme="minorEastAsia" w:hAnsiTheme="minorHAnsi" w:cstheme="minorBidi"/>
              <w:bCs w:val="0"/>
              <w:noProof/>
              <w:sz w:val="22"/>
              <w:szCs w:val="22"/>
              <w:lang w:eastAsia="en-AU"/>
            </w:rPr>
          </w:pPr>
          <w:hyperlink w:anchor="_Toc500516231" w:history="1">
            <w:r w:rsidR="00942D91" w:rsidRPr="00947BA5">
              <w:rPr>
                <w:rStyle w:val="Hyperlink"/>
                <w:noProof/>
              </w:rPr>
              <w:t>6.7</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Increasing information provision</w:t>
            </w:r>
            <w:r w:rsidR="00942D91">
              <w:rPr>
                <w:noProof/>
                <w:webHidden/>
              </w:rPr>
              <w:tab/>
            </w:r>
            <w:r w:rsidR="00942D91">
              <w:rPr>
                <w:noProof/>
                <w:webHidden/>
              </w:rPr>
              <w:fldChar w:fldCharType="begin"/>
            </w:r>
            <w:r w:rsidR="00942D91">
              <w:rPr>
                <w:noProof/>
                <w:webHidden/>
              </w:rPr>
              <w:instrText xml:space="preserve"> PAGEREF _Toc500516231 \h </w:instrText>
            </w:r>
            <w:r w:rsidR="00942D91">
              <w:rPr>
                <w:noProof/>
                <w:webHidden/>
              </w:rPr>
            </w:r>
            <w:r w:rsidR="00942D91">
              <w:rPr>
                <w:noProof/>
                <w:webHidden/>
              </w:rPr>
              <w:fldChar w:fldCharType="separate"/>
            </w:r>
            <w:r>
              <w:rPr>
                <w:noProof/>
                <w:webHidden/>
              </w:rPr>
              <w:t>56</w:t>
            </w:r>
            <w:r w:rsidR="00942D91">
              <w:rPr>
                <w:noProof/>
                <w:webHidden/>
              </w:rPr>
              <w:fldChar w:fldCharType="end"/>
            </w:r>
          </w:hyperlink>
        </w:p>
        <w:p w14:paraId="6891D2E7" w14:textId="15C14983"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32" w:history="1">
            <w:r w:rsidR="00942D91" w:rsidRPr="00947BA5">
              <w:rPr>
                <w:rStyle w:val="Hyperlink"/>
                <w:noProof/>
              </w:rPr>
              <w:t>Chapter 7.</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Indigenous participation</w:t>
            </w:r>
            <w:r w:rsidR="00942D91">
              <w:rPr>
                <w:noProof/>
                <w:webHidden/>
              </w:rPr>
              <w:tab/>
            </w:r>
            <w:r w:rsidR="00942D91">
              <w:rPr>
                <w:noProof/>
                <w:webHidden/>
              </w:rPr>
              <w:fldChar w:fldCharType="begin"/>
            </w:r>
            <w:r w:rsidR="00942D91">
              <w:rPr>
                <w:noProof/>
                <w:webHidden/>
              </w:rPr>
              <w:instrText xml:space="preserve"> PAGEREF _Toc500516232 \h </w:instrText>
            </w:r>
            <w:r w:rsidR="00942D91">
              <w:rPr>
                <w:noProof/>
                <w:webHidden/>
              </w:rPr>
            </w:r>
            <w:r w:rsidR="00942D91">
              <w:rPr>
                <w:noProof/>
                <w:webHidden/>
              </w:rPr>
              <w:fldChar w:fldCharType="separate"/>
            </w:r>
            <w:r>
              <w:rPr>
                <w:noProof/>
                <w:webHidden/>
              </w:rPr>
              <w:t>57</w:t>
            </w:r>
            <w:r w:rsidR="00942D91">
              <w:rPr>
                <w:noProof/>
                <w:webHidden/>
              </w:rPr>
              <w:fldChar w:fldCharType="end"/>
            </w:r>
          </w:hyperlink>
        </w:p>
        <w:p w14:paraId="3D54C80D" w14:textId="332DED2C" w:rsidR="00942D91" w:rsidRDefault="00FA2002">
          <w:pPr>
            <w:pStyle w:val="TOC2"/>
            <w:rPr>
              <w:rFonts w:asciiTheme="minorHAnsi" w:eastAsiaTheme="minorEastAsia" w:hAnsiTheme="minorHAnsi" w:cstheme="minorBidi"/>
              <w:bCs w:val="0"/>
              <w:noProof/>
              <w:sz w:val="22"/>
              <w:szCs w:val="22"/>
              <w:lang w:eastAsia="en-AU"/>
            </w:rPr>
          </w:pPr>
          <w:hyperlink w:anchor="_Toc500516233" w:history="1">
            <w:r w:rsidR="00942D91" w:rsidRPr="00947BA5">
              <w:rPr>
                <w:rStyle w:val="Hyperlink"/>
                <w:noProof/>
              </w:rPr>
              <w:t>7.1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Eligible interest holder consents</w:t>
            </w:r>
            <w:r w:rsidR="00942D91">
              <w:rPr>
                <w:noProof/>
                <w:webHidden/>
              </w:rPr>
              <w:tab/>
            </w:r>
            <w:r w:rsidR="00942D91">
              <w:rPr>
                <w:noProof/>
                <w:webHidden/>
              </w:rPr>
              <w:fldChar w:fldCharType="begin"/>
            </w:r>
            <w:r w:rsidR="00942D91">
              <w:rPr>
                <w:noProof/>
                <w:webHidden/>
              </w:rPr>
              <w:instrText xml:space="preserve"> PAGEREF _Toc500516233 \h </w:instrText>
            </w:r>
            <w:r w:rsidR="00942D91">
              <w:rPr>
                <w:noProof/>
                <w:webHidden/>
              </w:rPr>
            </w:r>
            <w:r w:rsidR="00942D91">
              <w:rPr>
                <w:noProof/>
                <w:webHidden/>
              </w:rPr>
              <w:fldChar w:fldCharType="separate"/>
            </w:r>
            <w:r>
              <w:rPr>
                <w:noProof/>
                <w:webHidden/>
              </w:rPr>
              <w:t>58</w:t>
            </w:r>
            <w:r w:rsidR="00942D91">
              <w:rPr>
                <w:noProof/>
                <w:webHidden/>
              </w:rPr>
              <w:fldChar w:fldCharType="end"/>
            </w:r>
          </w:hyperlink>
        </w:p>
        <w:p w14:paraId="788B7648" w14:textId="03F08EE0" w:rsidR="00942D91" w:rsidRDefault="00FA2002">
          <w:pPr>
            <w:pStyle w:val="TOC2"/>
            <w:rPr>
              <w:rFonts w:asciiTheme="minorHAnsi" w:eastAsiaTheme="minorEastAsia" w:hAnsiTheme="minorHAnsi" w:cstheme="minorBidi"/>
              <w:bCs w:val="0"/>
              <w:noProof/>
              <w:sz w:val="22"/>
              <w:szCs w:val="22"/>
              <w:lang w:eastAsia="en-AU"/>
            </w:rPr>
          </w:pPr>
          <w:hyperlink w:anchor="_Toc500516234" w:history="1">
            <w:r w:rsidR="00942D91" w:rsidRPr="00947BA5">
              <w:rPr>
                <w:rStyle w:val="Hyperlink"/>
                <w:noProof/>
              </w:rPr>
              <w:t>7.2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Demonstrating legal right</w:t>
            </w:r>
            <w:r w:rsidR="00942D91">
              <w:rPr>
                <w:noProof/>
                <w:webHidden/>
              </w:rPr>
              <w:tab/>
            </w:r>
            <w:r w:rsidR="00942D91">
              <w:rPr>
                <w:noProof/>
                <w:webHidden/>
              </w:rPr>
              <w:fldChar w:fldCharType="begin"/>
            </w:r>
            <w:r w:rsidR="00942D91">
              <w:rPr>
                <w:noProof/>
                <w:webHidden/>
              </w:rPr>
              <w:instrText xml:space="preserve"> PAGEREF _Toc500516234 \h </w:instrText>
            </w:r>
            <w:r w:rsidR="00942D91">
              <w:rPr>
                <w:noProof/>
                <w:webHidden/>
              </w:rPr>
            </w:r>
            <w:r w:rsidR="00942D91">
              <w:rPr>
                <w:noProof/>
                <w:webHidden/>
              </w:rPr>
              <w:fldChar w:fldCharType="separate"/>
            </w:r>
            <w:r>
              <w:rPr>
                <w:noProof/>
                <w:webHidden/>
              </w:rPr>
              <w:t>58</w:t>
            </w:r>
            <w:r w:rsidR="00942D91">
              <w:rPr>
                <w:noProof/>
                <w:webHidden/>
              </w:rPr>
              <w:fldChar w:fldCharType="end"/>
            </w:r>
          </w:hyperlink>
        </w:p>
        <w:p w14:paraId="1945A703" w14:textId="3EA5CB57" w:rsidR="00942D91" w:rsidRDefault="00FA2002">
          <w:pPr>
            <w:pStyle w:val="TOC2"/>
            <w:rPr>
              <w:rFonts w:asciiTheme="minorHAnsi" w:eastAsiaTheme="minorEastAsia" w:hAnsiTheme="minorHAnsi" w:cstheme="minorBidi"/>
              <w:bCs w:val="0"/>
              <w:noProof/>
              <w:sz w:val="22"/>
              <w:szCs w:val="22"/>
              <w:lang w:eastAsia="en-AU"/>
            </w:rPr>
          </w:pPr>
          <w:hyperlink w:anchor="_Toc500516235" w:history="1">
            <w:r w:rsidR="00942D91" w:rsidRPr="00947BA5">
              <w:rPr>
                <w:rStyle w:val="Hyperlink"/>
                <w:noProof/>
              </w:rPr>
              <w:t>7.3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2017 Amendment Bill</w:t>
            </w:r>
            <w:r w:rsidR="00942D91">
              <w:rPr>
                <w:noProof/>
                <w:webHidden/>
              </w:rPr>
              <w:tab/>
            </w:r>
            <w:r w:rsidR="00942D91">
              <w:rPr>
                <w:noProof/>
                <w:webHidden/>
              </w:rPr>
              <w:fldChar w:fldCharType="begin"/>
            </w:r>
            <w:r w:rsidR="00942D91">
              <w:rPr>
                <w:noProof/>
                <w:webHidden/>
              </w:rPr>
              <w:instrText xml:space="preserve"> PAGEREF _Toc500516235 \h </w:instrText>
            </w:r>
            <w:r w:rsidR="00942D91">
              <w:rPr>
                <w:noProof/>
                <w:webHidden/>
              </w:rPr>
            </w:r>
            <w:r w:rsidR="00942D91">
              <w:rPr>
                <w:noProof/>
                <w:webHidden/>
              </w:rPr>
              <w:fldChar w:fldCharType="separate"/>
            </w:r>
            <w:r>
              <w:rPr>
                <w:noProof/>
                <w:webHidden/>
              </w:rPr>
              <w:t>59</w:t>
            </w:r>
            <w:r w:rsidR="00942D91">
              <w:rPr>
                <w:noProof/>
                <w:webHidden/>
              </w:rPr>
              <w:fldChar w:fldCharType="end"/>
            </w:r>
          </w:hyperlink>
        </w:p>
        <w:p w14:paraId="2024E580" w14:textId="7976A9A2" w:rsidR="00942D91" w:rsidRDefault="00FA2002">
          <w:pPr>
            <w:pStyle w:val="TOC2"/>
            <w:rPr>
              <w:rFonts w:asciiTheme="minorHAnsi" w:eastAsiaTheme="minorEastAsia" w:hAnsiTheme="minorHAnsi" w:cstheme="minorBidi"/>
              <w:bCs w:val="0"/>
              <w:noProof/>
              <w:sz w:val="22"/>
              <w:szCs w:val="22"/>
              <w:lang w:eastAsia="en-AU"/>
            </w:rPr>
          </w:pPr>
          <w:hyperlink w:anchor="_Toc500516236" w:history="1">
            <w:r w:rsidR="00942D91" w:rsidRPr="00947BA5">
              <w:rPr>
                <w:rStyle w:val="Hyperlink"/>
                <w:noProof/>
              </w:rPr>
              <w:t>7.4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Conditional registration</w:t>
            </w:r>
            <w:r w:rsidR="00942D91">
              <w:rPr>
                <w:noProof/>
                <w:webHidden/>
              </w:rPr>
              <w:tab/>
            </w:r>
            <w:r w:rsidR="00942D91">
              <w:rPr>
                <w:noProof/>
                <w:webHidden/>
              </w:rPr>
              <w:fldChar w:fldCharType="begin"/>
            </w:r>
            <w:r w:rsidR="00942D91">
              <w:rPr>
                <w:noProof/>
                <w:webHidden/>
              </w:rPr>
              <w:instrText xml:space="preserve"> PAGEREF _Toc500516236 \h </w:instrText>
            </w:r>
            <w:r w:rsidR="00942D91">
              <w:rPr>
                <w:noProof/>
                <w:webHidden/>
              </w:rPr>
            </w:r>
            <w:r w:rsidR="00942D91">
              <w:rPr>
                <w:noProof/>
                <w:webHidden/>
              </w:rPr>
              <w:fldChar w:fldCharType="separate"/>
            </w:r>
            <w:r>
              <w:rPr>
                <w:noProof/>
                <w:webHidden/>
              </w:rPr>
              <w:t>60</w:t>
            </w:r>
            <w:r w:rsidR="00942D91">
              <w:rPr>
                <w:noProof/>
                <w:webHidden/>
              </w:rPr>
              <w:fldChar w:fldCharType="end"/>
            </w:r>
          </w:hyperlink>
        </w:p>
        <w:p w14:paraId="428516F2" w14:textId="5856B4AB" w:rsidR="00942D91" w:rsidRDefault="00FA2002">
          <w:pPr>
            <w:pStyle w:val="TOC2"/>
            <w:rPr>
              <w:rFonts w:asciiTheme="minorHAnsi" w:eastAsiaTheme="minorEastAsia" w:hAnsiTheme="minorHAnsi" w:cstheme="minorBidi"/>
              <w:bCs w:val="0"/>
              <w:noProof/>
              <w:sz w:val="22"/>
              <w:szCs w:val="22"/>
              <w:lang w:eastAsia="en-AU"/>
            </w:rPr>
          </w:pPr>
          <w:hyperlink w:anchor="_Toc500516237" w:history="1">
            <w:r w:rsidR="00942D91" w:rsidRPr="00947BA5">
              <w:rPr>
                <w:rStyle w:val="Hyperlink"/>
                <w:noProof/>
              </w:rPr>
              <w:t>7.5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Non-legal barriers to Indigenous participation in the Emissions Reduction Fund</w:t>
            </w:r>
            <w:r w:rsidR="00942D91">
              <w:rPr>
                <w:noProof/>
                <w:webHidden/>
              </w:rPr>
              <w:tab/>
            </w:r>
            <w:r w:rsidR="00942D91">
              <w:rPr>
                <w:noProof/>
                <w:webHidden/>
              </w:rPr>
              <w:fldChar w:fldCharType="begin"/>
            </w:r>
            <w:r w:rsidR="00942D91">
              <w:rPr>
                <w:noProof/>
                <w:webHidden/>
              </w:rPr>
              <w:instrText xml:space="preserve"> PAGEREF _Toc500516237 \h </w:instrText>
            </w:r>
            <w:r w:rsidR="00942D91">
              <w:rPr>
                <w:noProof/>
                <w:webHidden/>
              </w:rPr>
            </w:r>
            <w:r w:rsidR="00942D91">
              <w:rPr>
                <w:noProof/>
                <w:webHidden/>
              </w:rPr>
              <w:fldChar w:fldCharType="separate"/>
            </w:r>
            <w:r>
              <w:rPr>
                <w:noProof/>
                <w:webHidden/>
              </w:rPr>
              <w:t>61</w:t>
            </w:r>
            <w:r w:rsidR="00942D91">
              <w:rPr>
                <w:noProof/>
                <w:webHidden/>
              </w:rPr>
              <w:fldChar w:fldCharType="end"/>
            </w:r>
          </w:hyperlink>
        </w:p>
        <w:p w14:paraId="06CE2BA4" w14:textId="115DF80A"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38" w:history="1">
            <w:r w:rsidR="00942D91" w:rsidRPr="00947BA5">
              <w:rPr>
                <w:rStyle w:val="Hyperlink"/>
                <w:noProof/>
              </w:rPr>
              <w:t>Chapter 8.</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Project administration</w:t>
            </w:r>
            <w:r w:rsidR="00942D91">
              <w:rPr>
                <w:noProof/>
                <w:webHidden/>
              </w:rPr>
              <w:tab/>
            </w:r>
            <w:r w:rsidR="00942D91">
              <w:rPr>
                <w:noProof/>
                <w:webHidden/>
              </w:rPr>
              <w:fldChar w:fldCharType="begin"/>
            </w:r>
            <w:r w:rsidR="00942D91">
              <w:rPr>
                <w:noProof/>
                <w:webHidden/>
              </w:rPr>
              <w:instrText xml:space="preserve"> PAGEREF _Toc500516238 \h </w:instrText>
            </w:r>
            <w:r w:rsidR="00942D91">
              <w:rPr>
                <w:noProof/>
                <w:webHidden/>
              </w:rPr>
            </w:r>
            <w:r w:rsidR="00942D91">
              <w:rPr>
                <w:noProof/>
                <w:webHidden/>
              </w:rPr>
              <w:fldChar w:fldCharType="separate"/>
            </w:r>
            <w:r>
              <w:rPr>
                <w:noProof/>
                <w:webHidden/>
              </w:rPr>
              <w:t>62</w:t>
            </w:r>
            <w:r w:rsidR="00942D91">
              <w:rPr>
                <w:noProof/>
                <w:webHidden/>
              </w:rPr>
              <w:fldChar w:fldCharType="end"/>
            </w:r>
          </w:hyperlink>
        </w:p>
        <w:p w14:paraId="2E6CF15F" w14:textId="5D014B08" w:rsidR="00942D91" w:rsidRDefault="00FA2002">
          <w:pPr>
            <w:pStyle w:val="TOC2"/>
            <w:rPr>
              <w:rFonts w:asciiTheme="minorHAnsi" w:eastAsiaTheme="minorEastAsia" w:hAnsiTheme="minorHAnsi" w:cstheme="minorBidi"/>
              <w:bCs w:val="0"/>
              <w:noProof/>
              <w:sz w:val="22"/>
              <w:szCs w:val="22"/>
              <w:lang w:eastAsia="en-AU"/>
            </w:rPr>
          </w:pPr>
          <w:hyperlink w:anchor="_Toc500516239" w:history="1">
            <w:r w:rsidR="00942D91" w:rsidRPr="00947BA5">
              <w:rPr>
                <w:rStyle w:val="Hyperlink"/>
                <w:noProof/>
              </w:rPr>
              <w:t>8.1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Project registration</w:t>
            </w:r>
            <w:r w:rsidR="00942D91">
              <w:rPr>
                <w:noProof/>
                <w:webHidden/>
              </w:rPr>
              <w:tab/>
            </w:r>
            <w:r w:rsidR="00942D91">
              <w:rPr>
                <w:noProof/>
                <w:webHidden/>
              </w:rPr>
              <w:fldChar w:fldCharType="begin"/>
            </w:r>
            <w:r w:rsidR="00942D91">
              <w:rPr>
                <w:noProof/>
                <w:webHidden/>
              </w:rPr>
              <w:instrText xml:space="preserve"> PAGEREF _Toc500516239 \h </w:instrText>
            </w:r>
            <w:r w:rsidR="00942D91">
              <w:rPr>
                <w:noProof/>
                <w:webHidden/>
              </w:rPr>
            </w:r>
            <w:r w:rsidR="00942D91">
              <w:rPr>
                <w:noProof/>
                <w:webHidden/>
              </w:rPr>
              <w:fldChar w:fldCharType="separate"/>
            </w:r>
            <w:r>
              <w:rPr>
                <w:noProof/>
                <w:webHidden/>
              </w:rPr>
              <w:t>62</w:t>
            </w:r>
            <w:r w:rsidR="00942D91">
              <w:rPr>
                <w:noProof/>
                <w:webHidden/>
              </w:rPr>
              <w:fldChar w:fldCharType="end"/>
            </w:r>
          </w:hyperlink>
        </w:p>
        <w:p w14:paraId="2474853B" w14:textId="15A862FA" w:rsidR="00942D91" w:rsidRDefault="00FA2002">
          <w:pPr>
            <w:pStyle w:val="TOC2"/>
            <w:rPr>
              <w:rFonts w:asciiTheme="minorHAnsi" w:eastAsiaTheme="minorEastAsia" w:hAnsiTheme="minorHAnsi" w:cstheme="minorBidi"/>
              <w:bCs w:val="0"/>
              <w:noProof/>
              <w:sz w:val="22"/>
              <w:szCs w:val="22"/>
              <w:lang w:eastAsia="en-AU"/>
            </w:rPr>
          </w:pPr>
          <w:hyperlink w:anchor="_Toc500516240" w:history="1">
            <w:r w:rsidR="00942D91" w:rsidRPr="00947BA5">
              <w:rPr>
                <w:rStyle w:val="Hyperlink"/>
                <w:noProof/>
              </w:rPr>
              <w:t>8.2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Project variation</w:t>
            </w:r>
            <w:r w:rsidR="00942D91">
              <w:rPr>
                <w:noProof/>
                <w:webHidden/>
              </w:rPr>
              <w:tab/>
            </w:r>
            <w:r w:rsidR="00942D91">
              <w:rPr>
                <w:noProof/>
                <w:webHidden/>
              </w:rPr>
              <w:fldChar w:fldCharType="begin"/>
            </w:r>
            <w:r w:rsidR="00942D91">
              <w:rPr>
                <w:noProof/>
                <w:webHidden/>
              </w:rPr>
              <w:instrText xml:space="preserve"> PAGEREF _Toc500516240 \h </w:instrText>
            </w:r>
            <w:r w:rsidR="00942D91">
              <w:rPr>
                <w:noProof/>
                <w:webHidden/>
              </w:rPr>
            </w:r>
            <w:r w:rsidR="00942D91">
              <w:rPr>
                <w:noProof/>
                <w:webHidden/>
              </w:rPr>
              <w:fldChar w:fldCharType="separate"/>
            </w:r>
            <w:r>
              <w:rPr>
                <w:noProof/>
                <w:webHidden/>
              </w:rPr>
              <w:t>62</w:t>
            </w:r>
            <w:r w:rsidR="00942D91">
              <w:rPr>
                <w:noProof/>
                <w:webHidden/>
              </w:rPr>
              <w:fldChar w:fldCharType="end"/>
            </w:r>
          </w:hyperlink>
        </w:p>
        <w:p w14:paraId="2527F95C" w14:textId="77E9C7F7" w:rsidR="00942D91" w:rsidRDefault="00FA2002">
          <w:pPr>
            <w:pStyle w:val="TOC2"/>
            <w:rPr>
              <w:rFonts w:asciiTheme="minorHAnsi" w:eastAsiaTheme="minorEastAsia" w:hAnsiTheme="minorHAnsi" w:cstheme="minorBidi"/>
              <w:bCs w:val="0"/>
              <w:noProof/>
              <w:sz w:val="22"/>
              <w:szCs w:val="22"/>
              <w:lang w:eastAsia="en-AU"/>
            </w:rPr>
          </w:pPr>
          <w:hyperlink w:anchor="_Toc500516241" w:history="1">
            <w:r w:rsidR="00942D91" w:rsidRPr="00947BA5">
              <w:rPr>
                <w:rStyle w:val="Hyperlink"/>
                <w:noProof/>
              </w:rPr>
              <w:t>8.3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Eligible interest holder consents</w:t>
            </w:r>
            <w:r w:rsidR="00942D91">
              <w:rPr>
                <w:noProof/>
                <w:webHidden/>
              </w:rPr>
              <w:tab/>
            </w:r>
            <w:r w:rsidR="00942D91">
              <w:rPr>
                <w:noProof/>
                <w:webHidden/>
              </w:rPr>
              <w:fldChar w:fldCharType="begin"/>
            </w:r>
            <w:r w:rsidR="00942D91">
              <w:rPr>
                <w:noProof/>
                <w:webHidden/>
              </w:rPr>
              <w:instrText xml:space="preserve"> PAGEREF _Toc500516241 \h </w:instrText>
            </w:r>
            <w:r w:rsidR="00942D91">
              <w:rPr>
                <w:noProof/>
                <w:webHidden/>
              </w:rPr>
            </w:r>
            <w:r w:rsidR="00942D91">
              <w:rPr>
                <w:noProof/>
                <w:webHidden/>
              </w:rPr>
              <w:fldChar w:fldCharType="separate"/>
            </w:r>
            <w:r>
              <w:rPr>
                <w:noProof/>
                <w:webHidden/>
              </w:rPr>
              <w:t>62</w:t>
            </w:r>
            <w:r w:rsidR="00942D91">
              <w:rPr>
                <w:noProof/>
                <w:webHidden/>
              </w:rPr>
              <w:fldChar w:fldCharType="end"/>
            </w:r>
          </w:hyperlink>
        </w:p>
        <w:p w14:paraId="0995F87F" w14:textId="5EA942F1" w:rsidR="00942D91" w:rsidRDefault="00FA2002">
          <w:pPr>
            <w:pStyle w:val="TOC2"/>
            <w:rPr>
              <w:rFonts w:asciiTheme="minorHAnsi" w:eastAsiaTheme="minorEastAsia" w:hAnsiTheme="minorHAnsi" w:cstheme="minorBidi"/>
              <w:bCs w:val="0"/>
              <w:noProof/>
              <w:sz w:val="22"/>
              <w:szCs w:val="22"/>
              <w:lang w:eastAsia="en-AU"/>
            </w:rPr>
          </w:pPr>
          <w:hyperlink w:anchor="_Toc500516242" w:history="1">
            <w:r w:rsidR="00942D91" w:rsidRPr="00947BA5">
              <w:rPr>
                <w:rStyle w:val="Hyperlink"/>
                <w:noProof/>
              </w:rPr>
              <w:t>8.4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Crediting</w:t>
            </w:r>
            <w:r w:rsidR="00942D91">
              <w:rPr>
                <w:noProof/>
                <w:webHidden/>
              </w:rPr>
              <w:tab/>
            </w:r>
            <w:r w:rsidR="00942D91">
              <w:rPr>
                <w:noProof/>
                <w:webHidden/>
              </w:rPr>
              <w:fldChar w:fldCharType="begin"/>
            </w:r>
            <w:r w:rsidR="00942D91">
              <w:rPr>
                <w:noProof/>
                <w:webHidden/>
              </w:rPr>
              <w:instrText xml:space="preserve"> PAGEREF _Toc500516242 \h </w:instrText>
            </w:r>
            <w:r w:rsidR="00942D91">
              <w:rPr>
                <w:noProof/>
                <w:webHidden/>
              </w:rPr>
            </w:r>
            <w:r w:rsidR="00942D91">
              <w:rPr>
                <w:noProof/>
                <w:webHidden/>
              </w:rPr>
              <w:fldChar w:fldCharType="separate"/>
            </w:r>
            <w:r>
              <w:rPr>
                <w:noProof/>
                <w:webHidden/>
              </w:rPr>
              <w:t>62</w:t>
            </w:r>
            <w:r w:rsidR="00942D91">
              <w:rPr>
                <w:noProof/>
                <w:webHidden/>
              </w:rPr>
              <w:fldChar w:fldCharType="end"/>
            </w:r>
          </w:hyperlink>
        </w:p>
        <w:p w14:paraId="596ACAD8" w14:textId="1E7A0D44" w:rsidR="00942D91" w:rsidRDefault="00FA2002">
          <w:pPr>
            <w:pStyle w:val="TOC2"/>
            <w:rPr>
              <w:rFonts w:asciiTheme="minorHAnsi" w:eastAsiaTheme="minorEastAsia" w:hAnsiTheme="minorHAnsi" w:cstheme="minorBidi"/>
              <w:bCs w:val="0"/>
              <w:noProof/>
              <w:sz w:val="22"/>
              <w:szCs w:val="22"/>
              <w:lang w:eastAsia="en-AU"/>
            </w:rPr>
          </w:pPr>
          <w:hyperlink w:anchor="_Toc500516243" w:history="1">
            <w:r w:rsidR="00942D91" w:rsidRPr="00947BA5">
              <w:rPr>
                <w:rStyle w:val="Hyperlink"/>
                <w:noProof/>
              </w:rPr>
              <w:t>8.5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Auditing</w:t>
            </w:r>
            <w:r w:rsidR="00942D91">
              <w:rPr>
                <w:noProof/>
                <w:webHidden/>
              </w:rPr>
              <w:tab/>
            </w:r>
            <w:r w:rsidR="00942D91">
              <w:rPr>
                <w:noProof/>
                <w:webHidden/>
              </w:rPr>
              <w:fldChar w:fldCharType="begin"/>
            </w:r>
            <w:r w:rsidR="00942D91">
              <w:rPr>
                <w:noProof/>
                <w:webHidden/>
              </w:rPr>
              <w:instrText xml:space="preserve"> PAGEREF _Toc500516243 \h </w:instrText>
            </w:r>
            <w:r w:rsidR="00942D91">
              <w:rPr>
                <w:noProof/>
                <w:webHidden/>
              </w:rPr>
            </w:r>
            <w:r w:rsidR="00942D91">
              <w:rPr>
                <w:noProof/>
                <w:webHidden/>
              </w:rPr>
              <w:fldChar w:fldCharType="separate"/>
            </w:r>
            <w:r>
              <w:rPr>
                <w:noProof/>
                <w:webHidden/>
              </w:rPr>
              <w:t>64</w:t>
            </w:r>
            <w:r w:rsidR="00942D91">
              <w:rPr>
                <w:noProof/>
                <w:webHidden/>
              </w:rPr>
              <w:fldChar w:fldCharType="end"/>
            </w:r>
          </w:hyperlink>
        </w:p>
        <w:p w14:paraId="70F4AED6" w14:textId="4B5BAAE4" w:rsidR="00942D91" w:rsidRDefault="00FA2002">
          <w:pPr>
            <w:pStyle w:val="TOC2"/>
            <w:rPr>
              <w:rFonts w:asciiTheme="minorHAnsi" w:eastAsiaTheme="minorEastAsia" w:hAnsiTheme="minorHAnsi" w:cstheme="minorBidi"/>
              <w:bCs w:val="0"/>
              <w:noProof/>
              <w:sz w:val="22"/>
              <w:szCs w:val="22"/>
              <w:lang w:eastAsia="en-AU"/>
            </w:rPr>
          </w:pPr>
          <w:hyperlink w:anchor="_Toc500516244" w:history="1">
            <w:r w:rsidR="00942D91" w:rsidRPr="00947BA5">
              <w:rPr>
                <w:rStyle w:val="Hyperlink"/>
                <w:noProof/>
              </w:rPr>
              <w:t>8.6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Decision making powers</w:t>
            </w:r>
            <w:r w:rsidR="00942D91">
              <w:rPr>
                <w:noProof/>
                <w:webHidden/>
              </w:rPr>
              <w:tab/>
            </w:r>
            <w:r w:rsidR="00942D91">
              <w:rPr>
                <w:noProof/>
                <w:webHidden/>
              </w:rPr>
              <w:fldChar w:fldCharType="begin"/>
            </w:r>
            <w:r w:rsidR="00942D91">
              <w:rPr>
                <w:noProof/>
                <w:webHidden/>
              </w:rPr>
              <w:instrText xml:space="preserve"> PAGEREF _Toc500516244 \h </w:instrText>
            </w:r>
            <w:r w:rsidR="00942D91">
              <w:rPr>
                <w:noProof/>
                <w:webHidden/>
              </w:rPr>
            </w:r>
            <w:r w:rsidR="00942D91">
              <w:rPr>
                <w:noProof/>
                <w:webHidden/>
              </w:rPr>
              <w:fldChar w:fldCharType="separate"/>
            </w:r>
            <w:r>
              <w:rPr>
                <w:noProof/>
                <w:webHidden/>
              </w:rPr>
              <w:t>64</w:t>
            </w:r>
            <w:r w:rsidR="00942D91">
              <w:rPr>
                <w:noProof/>
                <w:webHidden/>
              </w:rPr>
              <w:fldChar w:fldCharType="end"/>
            </w:r>
          </w:hyperlink>
        </w:p>
        <w:p w14:paraId="75E436EF" w14:textId="384171E8"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45" w:history="1">
            <w:r w:rsidR="00942D91" w:rsidRPr="00947BA5">
              <w:rPr>
                <w:rStyle w:val="Hyperlink"/>
                <w:noProof/>
              </w:rPr>
              <w:t>Chapter 9.</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Managing adverse impacts from emissions reduction fund projects</w:t>
            </w:r>
            <w:r w:rsidR="00942D91">
              <w:rPr>
                <w:noProof/>
                <w:webHidden/>
              </w:rPr>
              <w:tab/>
            </w:r>
            <w:r w:rsidR="00D03260">
              <w:rPr>
                <w:noProof/>
                <w:webHidden/>
              </w:rPr>
              <w:tab/>
            </w:r>
            <w:r w:rsidR="00942D91">
              <w:rPr>
                <w:noProof/>
                <w:webHidden/>
              </w:rPr>
              <w:fldChar w:fldCharType="begin"/>
            </w:r>
            <w:r w:rsidR="00942D91">
              <w:rPr>
                <w:noProof/>
                <w:webHidden/>
              </w:rPr>
              <w:instrText xml:space="preserve"> PAGEREF _Toc500516245 \h </w:instrText>
            </w:r>
            <w:r w:rsidR="00942D91">
              <w:rPr>
                <w:noProof/>
                <w:webHidden/>
              </w:rPr>
            </w:r>
            <w:r w:rsidR="00942D91">
              <w:rPr>
                <w:noProof/>
                <w:webHidden/>
              </w:rPr>
              <w:fldChar w:fldCharType="separate"/>
            </w:r>
            <w:r>
              <w:rPr>
                <w:noProof/>
                <w:webHidden/>
              </w:rPr>
              <w:t>66</w:t>
            </w:r>
            <w:r w:rsidR="00942D91">
              <w:rPr>
                <w:noProof/>
                <w:webHidden/>
              </w:rPr>
              <w:fldChar w:fldCharType="end"/>
            </w:r>
          </w:hyperlink>
        </w:p>
        <w:p w14:paraId="4F1C5DF1" w14:textId="23759DFC" w:rsidR="00942D91" w:rsidRDefault="00FA2002">
          <w:pPr>
            <w:pStyle w:val="TOC2"/>
            <w:rPr>
              <w:rFonts w:asciiTheme="minorHAnsi" w:eastAsiaTheme="minorEastAsia" w:hAnsiTheme="minorHAnsi" w:cstheme="minorBidi"/>
              <w:bCs w:val="0"/>
              <w:noProof/>
              <w:sz w:val="22"/>
              <w:szCs w:val="22"/>
              <w:lang w:eastAsia="en-AU"/>
            </w:rPr>
          </w:pPr>
          <w:hyperlink w:anchor="_Toc500516246" w:history="1">
            <w:r w:rsidR="00942D91" w:rsidRPr="00947BA5">
              <w:rPr>
                <w:rStyle w:val="Hyperlink"/>
                <w:noProof/>
              </w:rPr>
              <w:t>9.1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Current protections</w:t>
            </w:r>
            <w:r w:rsidR="00942D91">
              <w:rPr>
                <w:noProof/>
                <w:webHidden/>
              </w:rPr>
              <w:tab/>
            </w:r>
            <w:r w:rsidR="00942D91">
              <w:rPr>
                <w:noProof/>
                <w:webHidden/>
              </w:rPr>
              <w:fldChar w:fldCharType="begin"/>
            </w:r>
            <w:r w:rsidR="00942D91">
              <w:rPr>
                <w:noProof/>
                <w:webHidden/>
              </w:rPr>
              <w:instrText xml:space="preserve"> PAGEREF _Toc500516246 \h </w:instrText>
            </w:r>
            <w:r w:rsidR="00942D91">
              <w:rPr>
                <w:noProof/>
                <w:webHidden/>
              </w:rPr>
            </w:r>
            <w:r w:rsidR="00942D91">
              <w:rPr>
                <w:noProof/>
                <w:webHidden/>
              </w:rPr>
              <w:fldChar w:fldCharType="separate"/>
            </w:r>
            <w:r>
              <w:rPr>
                <w:noProof/>
                <w:webHidden/>
              </w:rPr>
              <w:t>66</w:t>
            </w:r>
            <w:r w:rsidR="00942D91">
              <w:rPr>
                <w:noProof/>
                <w:webHidden/>
              </w:rPr>
              <w:fldChar w:fldCharType="end"/>
            </w:r>
          </w:hyperlink>
        </w:p>
        <w:p w14:paraId="0E4CCEC8" w14:textId="723A929A" w:rsidR="00942D91" w:rsidRDefault="00FA2002">
          <w:pPr>
            <w:pStyle w:val="TOC2"/>
            <w:rPr>
              <w:rFonts w:asciiTheme="minorHAnsi" w:eastAsiaTheme="minorEastAsia" w:hAnsiTheme="minorHAnsi" w:cstheme="minorBidi"/>
              <w:bCs w:val="0"/>
              <w:noProof/>
              <w:sz w:val="22"/>
              <w:szCs w:val="22"/>
              <w:lang w:eastAsia="en-AU"/>
            </w:rPr>
          </w:pPr>
          <w:hyperlink w:anchor="_Toc500516247" w:history="1">
            <w:r w:rsidR="00942D91" w:rsidRPr="00947BA5">
              <w:rPr>
                <w:rStyle w:val="Hyperlink"/>
                <w:noProof/>
              </w:rPr>
              <w:t>9.2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Concerns</w:t>
            </w:r>
            <w:r w:rsidR="00942D91">
              <w:rPr>
                <w:noProof/>
                <w:webHidden/>
              </w:rPr>
              <w:tab/>
            </w:r>
            <w:r w:rsidR="00942D91">
              <w:rPr>
                <w:noProof/>
                <w:webHidden/>
              </w:rPr>
              <w:fldChar w:fldCharType="begin"/>
            </w:r>
            <w:r w:rsidR="00942D91">
              <w:rPr>
                <w:noProof/>
                <w:webHidden/>
              </w:rPr>
              <w:instrText xml:space="preserve"> PAGEREF _Toc500516247 \h </w:instrText>
            </w:r>
            <w:r w:rsidR="00942D91">
              <w:rPr>
                <w:noProof/>
                <w:webHidden/>
              </w:rPr>
            </w:r>
            <w:r w:rsidR="00942D91">
              <w:rPr>
                <w:noProof/>
                <w:webHidden/>
              </w:rPr>
              <w:fldChar w:fldCharType="separate"/>
            </w:r>
            <w:r>
              <w:rPr>
                <w:noProof/>
                <w:webHidden/>
              </w:rPr>
              <w:t>66</w:t>
            </w:r>
            <w:r w:rsidR="00942D91">
              <w:rPr>
                <w:noProof/>
                <w:webHidden/>
              </w:rPr>
              <w:fldChar w:fldCharType="end"/>
            </w:r>
          </w:hyperlink>
        </w:p>
        <w:p w14:paraId="33A5752C" w14:textId="4C1717C7"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48" w:history="1">
            <w:r w:rsidR="00942D91" w:rsidRPr="00947BA5">
              <w:rPr>
                <w:rStyle w:val="Hyperlink"/>
                <w:noProof/>
              </w:rPr>
              <w:t>Chapter 10.</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Emissions Reduction Fund purchasing, contracts and delivery risks</w:t>
            </w:r>
            <w:r w:rsidR="00942D91">
              <w:rPr>
                <w:noProof/>
                <w:webHidden/>
              </w:rPr>
              <w:tab/>
            </w:r>
            <w:r w:rsidR="00942D91">
              <w:rPr>
                <w:noProof/>
                <w:webHidden/>
              </w:rPr>
              <w:fldChar w:fldCharType="begin"/>
            </w:r>
            <w:r w:rsidR="00942D91">
              <w:rPr>
                <w:noProof/>
                <w:webHidden/>
              </w:rPr>
              <w:instrText xml:space="preserve"> PAGEREF _Toc500516248 \h </w:instrText>
            </w:r>
            <w:r w:rsidR="00942D91">
              <w:rPr>
                <w:noProof/>
                <w:webHidden/>
              </w:rPr>
            </w:r>
            <w:r w:rsidR="00942D91">
              <w:rPr>
                <w:noProof/>
                <w:webHidden/>
              </w:rPr>
              <w:fldChar w:fldCharType="separate"/>
            </w:r>
            <w:r>
              <w:rPr>
                <w:noProof/>
                <w:webHidden/>
              </w:rPr>
              <w:t>69</w:t>
            </w:r>
            <w:r w:rsidR="00942D91">
              <w:rPr>
                <w:noProof/>
                <w:webHidden/>
              </w:rPr>
              <w:fldChar w:fldCharType="end"/>
            </w:r>
          </w:hyperlink>
        </w:p>
        <w:p w14:paraId="6D8CDA65" w14:textId="2CF8149F" w:rsidR="00942D91" w:rsidRDefault="00FA2002">
          <w:pPr>
            <w:pStyle w:val="TOC2"/>
            <w:rPr>
              <w:rFonts w:asciiTheme="minorHAnsi" w:eastAsiaTheme="minorEastAsia" w:hAnsiTheme="minorHAnsi" w:cstheme="minorBidi"/>
              <w:bCs w:val="0"/>
              <w:noProof/>
              <w:sz w:val="22"/>
              <w:szCs w:val="22"/>
              <w:lang w:eastAsia="en-AU"/>
            </w:rPr>
          </w:pPr>
          <w:hyperlink w:anchor="_Toc500516249" w:history="1">
            <w:r w:rsidR="00942D91" w:rsidRPr="00947BA5">
              <w:rPr>
                <w:rStyle w:val="Hyperlink"/>
                <w:noProof/>
              </w:rPr>
              <w:t>10.1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Purchasing principles</w:t>
            </w:r>
            <w:r w:rsidR="00942D91">
              <w:rPr>
                <w:noProof/>
                <w:webHidden/>
              </w:rPr>
              <w:tab/>
            </w:r>
            <w:r w:rsidR="00942D91">
              <w:rPr>
                <w:noProof/>
                <w:webHidden/>
              </w:rPr>
              <w:fldChar w:fldCharType="begin"/>
            </w:r>
            <w:r w:rsidR="00942D91">
              <w:rPr>
                <w:noProof/>
                <w:webHidden/>
              </w:rPr>
              <w:instrText xml:space="preserve"> PAGEREF _Toc500516249 \h </w:instrText>
            </w:r>
            <w:r w:rsidR="00942D91">
              <w:rPr>
                <w:noProof/>
                <w:webHidden/>
              </w:rPr>
            </w:r>
            <w:r w:rsidR="00942D91">
              <w:rPr>
                <w:noProof/>
                <w:webHidden/>
              </w:rPr>
              <w:fldChar w:fldCharType="separate"/>
            </w:r>
            <w:r>
              <w:rPr>
                <w:noProof/>
                <w:webHidden/>
              </w:rPr>
              <w:t>69</w:t>
            </w:r>
            <w:r w:rsidR="00942D91">
              <w:rPr>
                <w:noProof/>
                <w:webHidden/>
              </w:rPr>
              <w:fldChar w:fldCharType="end"/>
            </w:r>
          </w:hyperlink>
        </w:p>
        <w:p w14:paraId="4FA3447C" w14:textId="443BDDBF" w:rsidR="00942D91" w:rsidRDefault="00FA2002">
          <w:pPr>
            <w:pStyle w:val="TOC2"/>
            <w:rPr>
              <w:rFonts w:asciiTheme="minorHAnsi" w:eastAsiaTheme="minorEastAsia" w:hAnsiTheme="minorHAnsi" w:cstheme="minorBidi"/>
              <w:bCs w:val="0"/>
              <w:noProof/>
              <w:sz w:val="22"/>
              <w:szCs w:val="22"/>
              <w:lang w:eastAsia="en-AU"/>
            </w:rPr>
          </w:pPr>
          <w:hyperlink w:anchor="_Toc500516250" w:history="1">
            <w:r w:rsidR="00942D91" w:rsidRPr="00947BA5">
              <w:rPr>
                <w:rStyle w:val="Hyperlink"/>
                <w:noProof/>
              </w:rPr>
              <w:t>10.2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Auctions</w:t>
            </w:r>
            <w:r w:rsidR="00942D91">
              <w:rPr>
                <w:noProof/>
                <w:webHidden/>
              </w:rPr>
              <w:tab/>
            </w:r>
            <w:r w:rsidR="00942D91">
              <w:rPr>
                <w:noProof/>
                <w:webHidden/>
              </w:rPr>
              <w:fldChar w:fldCharType="begin"/>
            </w:r>
            <w:r w:rsidR="00942D91">
              <w:rPr>
                <w:noProof/>
                <w:webHidden/>
              </w:rPr>
              <w:instrText xml:space="preserve"> PAGEREF _Toc500516250 \h </w:instrText>
            </w:r>
            <w:r w:rsidR="00942D91">
              <w:rPr>
                <w:noProof/>
                <w:webHidden/>
              </w:rPr>
            </w:r>
            <w:r w:rsidR="00942D91">
              <w:rPr>
                <w:noProof/>
                <w:webHidden/>
              </w:rPr>
              <w:fldChar w:fldCharType="separate"/>
            </w:r>
            <w:r>
              <w:rPr>
                <w:noProof/>
                <w:webHidden/>
              </w:rPr>
              <w:t>70</w:t>
            </w:r>
            <w:r w:rsidR="00942D91">
              <w:rPr>
                <w:noProof/>
                <w:webHidden/>
              </w:rPr>
              <w:fldChar w:fldCharType="end"/>
            </w:r>
          </w:hyperlink>
        </w:p>
        <w:p w14:paraId="45872330" w14:textId="47B6B4E3" w:rsidR="00942D91" w:rsidRDefault="00FA2002">
          <w:pPr>
            <w:pStyle w:val="TOC2"/>
            <w:rPr>
              <w:rFonts w:asciiTheme="minorHAnsi" w:eastAsiaTheme="minorEastAsia" w:hAnsiTheme="minorHAnsi" w:cstheme="minorBidi"/>
              <w:bCs w:val="0"/>
              <w:noProof/>
              <w:sz w:val="22"/>
              <w:szCs w:val="22"/>
              <w:lang w:eastAsia="en-AU"/>
            </w:rPr>
          </w:pPr>
          <w:hyperlink w:anchor="_Toc500516251" w:history="1">
            <w:r w:rsidR="00942D91" w:rsidRPr="00947BA5">
              <w:rPr>
                <w:rStyle w:val="Hyperlink"/>
                <w:noProof/>
              </w:rPr>
              <w:t>10.3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Alternative approaches to purchasing</w:t>
            </w:r>
            <w:r w:rsidR="00942D91">
              <w:rPr>
                <w:noProof/>
                <w:webHidden/>
              </w:rPr>
              <w:tab/>
            </w:r>
            <w:r w:rsidR="00942D91">
              <w:rPr>
                <w:noProof/>
                <w:webHidden/>
              </w:rPr>
              <w:fldChar w:fldCharType="begin"/>
            </w:r>
            <w:r w:rsidR="00942D91">
              <w:rPr>
                <w:noProof/>
                <w:webHidden/>
              </w:rPr>
              <w:instrText xml:space="preserve"> PAGEREF _Toc500516251 \h </w:instrText>
            </w:r>
            <w:r w:rsidR="00942D91">
              <w:rPr>
                <w:noProof/>
                <w:webHidden/>
              </w:rPr>
            </w:r>
            <w:r w:rsidR="00942D91">
              <w:rPr>
                <w:noProof/>
                <w:webHidden/>
              </w:rPr>
              <w:fldChar w:fldCharType="separate"/>
            </w:r>
            <w:r>
              <w:rPr>
                <w:noProof/>
                <w:webHidden/>
              </w:rPr>
              <w:t>72</w:t>
            </w:r>
            <w:r w:rsidR="00942D91">
              <w:rPr>
                <w:noProof/>
                <w:webHidden/>
              </w:rPr>
              <w:fldChar w:fldCharType="end"/>
            </w:r>
          </w:hyperlink>
        </w:p>
        <w:p w14:paraId="6C5DAF9E" w14:textId="474653C3" w:rsidR="00942D91" w:rsidRDefault="00FA2002">
          <w:pPr>
            <w:pStyle w:val="TOC2"/>
            <w:rPr>
              <w:rFonts w:asciiTheme="minorHAnsi" w:eastAsiaTheme="minorEastAsia" w:hAnsiTheme="minorHAnsi" w:cstheme="minorBidi"/>
              <w:bCs w:val="0"/>
              <w:noProof/>
              <w:sz w:val="22"/>
              <w:szCs w:val="22"/>
              <w:lang w:eastAsia="en-AU"/>
            </w:rPr>
          </w:pPr>
          <w:hyperlink w:anchor="_Toc500516252" w:history="1">
            <w:r w:rsidR="00942D91" w:rsidRPr="00947BA5">
              <w:rPr>
                <w:rStyle w:val="Hyperlink"/>
                <w:noProof/>
              </w:rPr>
              <w:t>10.4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Contracts</w:t>
            </w:r>
            <w:r w:rsidR="00942D91">
              <w:rPr>
                <w:noProof/>
                <w:webHidden/>
              </w:rPr>
              <w:tab/>
            </w:r>
            <w:r w:rsidR="00942D91">
              <w:rPr>
                <w:noProof/>
                <w:webHidden/>
              </w:rPr>
              <w:fldChar w:fldCharType="begin"/>
            </w:r>
            <w:r w:rsidR="00942D91">
              <w:rPr>
                <w:noProof/>
                <w:webHidden/>
              </w:rPr>
              <w:instrText xml:space="preserve"> PAGEREF _Toc500516252 \h </w:instrText>
            </w:r>
            <w:r w:rsidR="00942D91">
              <w:rPr>
                <w:noProof/>
                <w:webHidden/>
              </w:rPr>
            </w:r>
            <w:r w:rsidR="00942D91">
              <w:rPr>
                <w:noProof/>
                <w:webHidden/>
              </w:rPr>
              <w:fldChar w:fldCharType="separate"/>
            </w:r>
            <w:r>
              <w:rPr>
                <w:noProof/>
                <w:webHidden/>
              </w:rPr>
              <w:t>72</w:t>
            </w:r>
            <w:r w:rsidR="00942D91">
              <w:rPr>
                <w:noProof/>
                <w:webHidden/>
              </w:rPr>
              <w:fldChar w:fldCharType="end"/>
            </w:r>
          </w:hyperlink>
        </w:p>
        <w:p w14:paraId="61272FAA" w14:textId="70083DDF" w:rsidR="00942D91" w:rsidRDefault="00FA2002">
          <w:pPr>
            <w:pStyle w:val="TOC2"/>
            <w:rPr>
              <w:rFonts w:asciiTheme="minorHAnsi" w:eastAsiaTheme="minorEastAsia" w:hAnsiTheme="minorHAnsi" w:cstheme="minorBidi"/>
              <w:bCs w:val="0"/>
              <w:noProof/>
              <w:sz w:val="22"/>
              <w:szCs w:val="22"/>
              <w:lang w:eastAsia="en-AU"/>
            </w:rPr>
          </w:pPr>
          <w:hyperlink w:anchor="_Toc500516253" w:history="1">
            <w:r w:rsidR="00942D91" w:rsidRPr="00947BA5">
              <w:rPr>
                <w:rStyle w:val="Hyperlink"/>
                <w:noProof/>
              </w:rPr>
              <w:t>10.5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Expected delivery of abatement under the Emissions Reduction Fund</w:t>
            </w:r>
            <w:r w:rsidR="00942D91">
              <w:rPr>
                <w:noProof/>
                <w:webHidden/>
              </w:rPr>
              <w:tab/>
            </w:r>
            <w:r w:rsidR="00942D91">
              <w:rPr>
                <w:noProof/>
                <w:webHidden/>
              </w:rPr>
              <w:fldChar w:fldCharType="begin"/>
            </w:r>
            <w:r w:rsidR="00942D91">
              <w:rPr>
                <w:noProof/>
                <w:webHidden/>
              </w:rPr>
              <w:instrText xml:space="preserve"> PAGEREF _Toc500516253 \h </w:instrText>
            </w:r>
            <w:r w:rsidR="00942D91">
              <w:rPr>
                <w:noProof/>
                <w:webHidden/>
              </w:rPr>
            </w:r>
            <w:r w:rsidR="00942D91">
              <w:rPr>
                <w:noProof/>
                <w:webHidden/>
              </w:rPr>
              <w:fldChar w:fldCharType="separate"/>
            </w:r>
            <w:r>
              <w:rPr>
                <w:noProof/>
                <w:webHidden/>
              </w:rPr>
              <w:t>74</w:t>
            </w:r>
            <w:r w:rsidR="00942D91">
              <w:rPr>
                <w:noProof/>
                <w:webHidden/>
              </w:rPr>
              <w:fldChar w:fldCharType="end"/>
            </w:r>
          </w:hyperlink>
        </w:p>
        <w:p w14:paraId="375C82EC" w14:textId="073A92A5" w:rsidR="00942D91" w:rsidRDefault="00FA2002">
          <w:pPr>
            <w:pStyle w:val="TOC2"/>
            <w:rPr>
              <w:rFonts w:asciiTheme="minorHAnsi" w:eastAsiaTheme="minorEastAsia" w:hAnsiTheme="minorHAnsi" w:cstheme="minorBidi"/>
              <w:bCs w:val="0"/>
              <w:noProof/>
              <w:sz w:val="22"/>
              <w:szCs w:val="22"/>
              <w:lang w:eastAsia="en-AU"/>
            </w:rPr>
          </w:pPr>
          <w:hyperlink w:anchor="_Toc500516254" w:history="1">
            <w:r w:rsidR="00942D91" w:rsidRPr="00947BA5">
              <w:rPr>
                <w:rStyle w:val="Hyperlink"/>
                <w:noProof/>
              </w:rPr>
              <w:t>10.6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Delivery risks under the Emissions Reduction Fund</w:t>
            </w:r>
            <w:r w:rsidR="00942D91">
              <w:rPr>
                <w:noProof/>
                <w:webHidden/>
              </w:rPr>
              <w:tab/>
            </w:r>
            <w:r w:rsidR="00942D91">
              <w:rPr>
                <w:noProof/>
                <w:webHidden/>
              </w:rPr>
              <w:fldChar w:fldCharType="begin"/>
            </w:r>
            <w:r w:rsidR="00942D91">
              <w:rPr>
                <w:noProof/>
                <w:webHidden/>
              </w:rPr>
              <w:instrText xml:space="preserve"> PAGEREF _Toc500516254 \h </w:instrText>
            </w:r>
            <w:r w:rsidR="00942D91">
              <w:rPr>
                <w:noProof/>
                <w:webHidden/>
              </w:rPr>
            </w:r>
            <w:r w:rsidR="00942D91">
              <w:rPr>
                <w:noProof/>
                <w:webHidden/>
              </w:rPr>
              <w:fldChar w:fldCharType="separate"/>
            </w:r>
            <w:r>
              <w:rPr>
                <w:noProof/>
                <w:webHidden/>
              </w:rPr>
              <w:t>75</w:t>
            </w:r>
            <w:r w:rsidR="00942D91">
              <w:rPr>
                <w:noProof/>
                <w:webHidden/>
              </w:rPr>
              <w:fldChar w:fldCharType="end"/>
            </w:r>
          </w:hyperlink>
        </w:p>
        <w:p w14:paraId="73175C5E" w14:textId="6D187684"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55" w:history="1">
            <w:r w:rsidR="00942D91" w:rsidRPr="00947BA5">
              <w:rPr>
                <w:rStyle w:val="Hyperlink"/>
                <w:noProof/>
              </w:rPr>
              <w:t>Chapter 11.</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Secondary market</w:t>
            </w:r>
            <w:r w:rsidR="00942D91">
              <w:rPr>
                <w:noProof/>
                <w:webHidden/>
              </w:rPr>
              <w:tab/>
            </w:r>
            <w:r w:rsidR="00942D91">
              <w:rPr>
                <w:noProof/>
                <w:webHidden/>
              </w:rPr>
              <w:fldChar w:fldCharType="begin"/>
            </w:r>
            <w:r w:rsidR="00942D91">
              <w:rPr>
                <w:noProof/>
                <w:webHidden/>
              </w:rPr>
              <w:instrText xml:space="preserve"> PAGEREF _Toc500516255 \h </w:instrText>
            </w:r>
            <w:r w:rsidR="00942D91">
              <w:rPr>
                <w:noProof/>
                <w:webHidden/>
              </w:rPr>
            </w:r>
            <w:r w:rsidR="00942D91">
              <w:rPr>
                <w:noProof/>
                <w:webHidden/>
              </w:rPr>
              <w:fldChar w:fldCharType="separate"/>
            </w:r>
            <w:r>
              <w:rPr>
                <w:noProof/>
                <w:webHidden/>
              </w:rPr>
              <w:t>77</w:t>
            </w:r>
            <w:r w:rsidR="00942D91">
              <w:rPr>
                <w:noProof/>
                <w:webHidden/>
              </w:rPr>
              <w:fldChar w:fldCharType="end"/>
            </w:r>
          </w:hyperlink>
        </w:p>
        <w:p w14:paraId="623F6AAC" w14:textId="5E879718" w:rsidR="00942D91" w:rsidRDefault="00FA2002">
          <w:pPr>
            <w:pStyle w:val="TOC2"/>
            <w:rPr>
              <w:rFonts w:asciiTheme="minorHAnsi" w:eastAsiaTheme="minorEastAsia" w:hAnsiTheme="minorHAnsi" w:cstheme="minorBidi"/>
              <w:bCs w:val="0"/>
              <w:noProof/>
              <w:sz w:val="22"/>
              <w:szCs w:val="22"/>
              <w:lang w:eastAsia="en-AU"/>
            </w:rPr>
          </w:pPr>
          <w:hyperlink w:anchor="_Toc500516256" w:history="1">
            <w:r w:rsidR="00942D91" w:rsidRPr="00947BA5">
              <w:rPr>
                <w:rStyle w:val="Hyperlink"/>
                <w:noProof/>
              </w:rPr>
              <w:t>11.1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demand for Australian Carbon Credit Units on the secondary market</w:t>
            </w:r>
            <w:r w:rsidR="00942D91">
              <w:rPr>
                <w:noProof/>
                <w:webHidden/>
              </w:rPr>
              <w:tab/>
            </w:r>
            <w:r w:rsidR="00942D91">
              <w:rPr>
                <w:noProof/>
                <w:webHidden/>
              </w:rPr>
              <w:fldChar w:fldCharType="begin"/>
            </w:r>
            <w:r w:rsidR="00942D91">
              <w:rPr>
                <w:noProof/>
                <w:webHidden/>
              </w:rPr>
              <w:instrText xml:space="preserve"> PAGEREF _Toc500516256 \h </w:instrText>
            </w:r>
            <w:r w:rsidR="00942D91">
              <w:rPr>
                <w:noProof/>
                <w:webHidden/>
              </w:rPr>
            </w:r>
            <w:r w:rsidR="00942D91">
              <w:rPr>
                <w:noProof/>
                <w:webHidden/>
              </w:rPr>
              <w:fldChar w:fldCharType="separate"/>
            </w:r>
            <w:r>
              <w:rPr>
                <w:noProof/>
                <w:webHidden/>
              </w:rPr>
              <w:t>77</w:t>
            </w:r>
            <w:r w:rsidR="00942D91">
              <w:rPr>
                <w:noProof/>
                <w:webHidden/>
              </w:rPr>
              <w:fldChar w:fldCharType="end"/>
            </w:r>
          </w:hyperlink>
        </w:p>
        <w:p w14:paraId="35EC314F" w14:textId="12BC585A" w:rsidR="00942D91" w:rsidRDefault="00FA2002">
          <w:pPr>
            <w:pStyle w:val="TOC2"/>
            <w:rPr>
              <w:rFonts w:asciiTheme="minorHAnsi" w:eastAsiaTheme="minorEastAsia" w:hAnsiTheme="minorHAnsi" w:cstheme="minorBidi"/>
              <w:bCs w:val="0"/>
              <w:noProof/>
              <w:sz w:val="22"/>
              <w:szCs w:val="22"/>
              <w:lang w:eastAsia="en-AU"/>
            </w:rPr>
          </w:pPr>
          <w:hyperlink w:anchor="_Toc500516257" w:history="1">
            <w:r w:rsidR="00942D91" w:rsidRPr="00947BA5">
              <w:rPr>
                <w:rStyle w:val="Hyperlink"/>
                <w:noProof/>
              </w:rPr>
              <w:t>11.2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Voluntary market</w:t>
            </w:r>
            <w:r w:rsidR="00942D91">
              <w:rPr>
                <w:noProof/>
                <w:webHidden/>
              </w:rPr>
              <w:tab/>
            </w:r>
            <w:r w:rsidR="00942D91">
              <w:rPr>
                <w:noProof/>
                <w:webHidden/>
              </w:rPr>
              <w:fldChar w:fldCharType="begin"/>
            </w:r>
            <w:r w:rsidR="00942D91">
              <w:rPr>
                <w:noProof/>
                <w:webHidden/>
              </w:rPr>
              <w:instrText xml:space="preserve"> PAGEREF _Toc500516257 \h </w:instrText>
            </w:r>
            <w:r w:rsidR="00942D91">
              <w:rPr>
                <w:noProof/>
                <w:webHidden/>
              </w:rPr>
            </w:r>
            <w:r w:rsidR="00942D91">
              <w:rPr>
                <w:noProof/>
                <w:webHidden/>
              </w:rPr>
              <w:fldChar w:fldCharType="separate"/>
            </w:r>
            <w:r>
              <w:rPr>
                <w:noProof/>
                <w:webHidden/>
              </w:rPr>
              <w:t>77</w:t>
            </w:r>
            <w:r w:rsidR="00942D91">
              <w:rPr>
                <w:noProof/>
                <w:webHidden/>
              </w:rPr>
              <w:fldChar w:fldCharType="end"/>
            </w:r>
          </w:hyperlink>
        </w:p>
        <w:p w14:paraId="412C81F6" w14:textId="5E9625FF" w:rsidR="00942D91" w:rsidRDefault="00FA2002">
          <w:pPr>
            <w:pStyle w:val="TOC2"/>
            <w:rPr>
              <w:rFonts w:asciiTheme="minorHAnsi" w:eastAsiaTheme="minorEastAsia" w:hAnsiTheme="minorHAnsi" w:cstheme="minorBidi"/>
              <w:bCs w:val="0"/>
              <w:noProof/>
              <w:sz w:val="22"/>
              <w:szCs w:val="22"/>
              <w:lang w:eastAsia="en-AU"/>
            </w:rPr>
          </w:pPr>
          <w:hyperlink w:anchor="_Toc500516258" w:history="1">
            <w:r w:rsidR="00942D91" w:rsidRPr="00947BA5">
              <w:rPr>
                <w:rStyle w:val="Hyperlink"/>
                <w:noProof/>
              </w:rPr>
              <w:t>11.3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The supply of Australian Carbon Credit Units on the secondary market</w:t>
            </w:r>
            <w:r w:rsidR="00942D91">
              <w:rPr>
                <w:noProof/>
                <w:webHidden/>
              </w:rPr>
              <w:tab/>
            </w:r>
            <w:r w:rsidR="00942D91">
              <w:rPr>
                <w:noProof/>
                <w:webHidden/>
              </w:rPr>
              <w:fldChar w:fldCharType="begin"/>
            </w:r>
            <w:r w:rsidR="00942D91">
              <w:rPr>
                <w:noProof/>
                <w:webHidden/>
              </w:rPr>
              <w:instrText xml:space="preserve"> PAGEREF _Toc500516258 \h </w:instrText>
            </w:r>
            <w:r w:rsidR="00942D91">
              <w:rPr>
                <w:noProof/>
                <w:webHidden/>
              </w:rPr>
            </w:r>
            <w:r w:rsidR="00942D91">
              <w:rPr>
                <w:noProof/>
                <w:webHidden/>
              </w:rPr>
              <w:fldChar w:fldCharType="separate"/>
            </w:r>
            <w:r>
              <w:rPr>
                <w:noProof/>
                <w:webHidden/>
              </w:rPr>
              <w:t>78</w:t>
            </w:r>
            <w:r w:rsidR="00942D91">
              <w:rPr>
                <w:noProof/>
                <w:webHidden/>
              </w:rPr>
              <w:fldChar w:fldCharType="end"/>
            </w:r>
          </w:hyperlink>
        </w:p>
        <w:p w14:paraId="6382812C" w14:textId="413C9568" w:rsidR="00942D91" w:rsidRDefault="00FA2002">
          <w:pPr>
            <w:pStyle w:val="TOC2"/>
            <w:rPr>
              <w:rFonts w:asciiTheme="minorHAnsi" w:eastAsiaTheme="minorEastAsia" w:hAnsiTheme="minorHAnsi" w:cstheme="minorBidi"/>
              <w:bCs w:val="0"/>
              <w:noProof/>
              <w:sz w:val="22"/>
              <w:szCs w:val="22"/>
              <w:lang w:eastAsia="en-AU"/>
            </w:rPr>
          </w:pPr>
          <w:hyperlink w:anchor="_Toc500516259" w:history="1">
            <w:r w:rsidR="00942D91" w:rsidRPr="00947BA5">
              <w:rPr>
                <w:rStyle w:val="Hyperlink"/>
                <w:noProof/>
              </w:rPr>
              <w:t>11.4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Transparency and liquidity</w:t>
            </w:r>
            <w:r w:rsidR="00942D91">
              <w:rPr>
                <w:noProof/>
                <w:webHidden/>
              </w:rPr>
              <w:tab/>
            </w:r>
            <w:r w:rsidR="00942D91">
              <w:rPr>
                <w:noProof/>
                <w:webHidden/>
              </w:rPr>
              <w:fldChar w:fldCharType="begin"/>
            </w:r>
            <w:r w:rsidR="00942D91">
              <w:rPr>
                <w:noProof/>
                <w:webHidden/>
              </w:rPr>
              <w:instrText xml:space="preserve"> PAGEREF _Toc500516259 \h </w:instrText>
            </w:r>
            <w:r w:rsidR="00942D91">
              <w:rPr>
                <w:noProof/>
                <w:webHidden/>
              </w:rPr>
            </w:r>
            <w:r w:rsidR="00942D91">
              <w:rPr>
                <w:noProof/>
                <w:webHidden/>
              </w:rPr>
              <w:fldChar w:fldCharType="separate"/>
            </w:r>
            <w:r>
              <w:rPr>
                <w:noProof/>
                <w:webHidden/>
              </w:rPr>
              <w:t>79</w:t>
            </w:r>
            <w:r w:rsidR="00942D91">
              <w:rPr>
                <w:noProof/>
                <w:webHidden/>
              </w:rPr>
              <w:fldChar w:fldCharType="end"/>
            </w:r>
          </w:hyperlink>
        </w:p>
        <w:p w14:paraId="20A267C7" w14:textId="4C3C9497"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60" w:history="1">
            <w:r w:rsidR="00942D91" w:rsidRPr="00947BA5">
              <w:rPr>
                <w:rStyle w:val="Hyperlink"/>
                <w:noProof/>
              </w:rPr>
              <w:t>Chapter 12.</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Governance</w:t>
            </w:r>
            <w:r w:rsidR="00942D91">
              <w:rPr>
                <w:noProof/>
                <w:webHidden/>
              </w:rPr>
              <w:tab/>
            </w:r>
            <w:r w:rsidR="00942D91">
              <w:rPr>
                <w:noProof/>
                <w:webHidden/>
              </w:rPr>
              <w:fldChar w:fldCharType="begin"/>
            </w:r>
            <w:r w:rsidR="00942D91">
              <w:rPr>
                <w:noProof/>
                <w:webHidden/>
              </w:rPr>
              <w:instrText xml:space="preserve"> PAGEREF _Toc500516260 \h </w:instrText>
            </w:r>
            <w:r w:rsidR="00942D91">
              <w:rPr>
                <w:noProof/>
                <w:webHidden/>
              </w:rPr>
            </w:r>
            <w:r w:rsidR="00942D91">
              <w:rPr>
                <w:noProof/>
                <w:webHidden/>
              </w:rPr>
              <w:fldChar w:fldCharType="separate"/>
            </w:r>
            <w:r>
              <w:rPr>
                <w:noProof/>
                <w:webHidden/>
              </w:rPr>
              <w:t>83</w:t>
            </w:r>
            <w:r w:rsidR="00942D91">
              <w:rPr>
                <w:noProof/>
                <w:webHidden/>
              </w:rPr>
              <w:fldChar w:fldCharType="end"/>
            </w:r>
          </w:hyperlink>
        </w:p>
        <w:p w14:paraId="1173FB43" w14:textId="4B1D4E94" w:rsidR="00942D91" w:rsidRDefault="00FA2002">
          <w:pPr>
            <w:pStyle w:val="TOC2"/>
            <w:rPr>
              <w:rFonts w:asciiTheme="minorHAnsi" w:eastAsiaTheme="minorEastAsia" w:hAnsiTheme="minorHAnsi" w:cstheme="minorBidi"/>
              <w:bCs w:val="0"/>
              <w:noProof/>
              <w:sz w:val="22"/>
              <w:szCs w:val="22"/>
              <w:lang w:eastAsia="en-AU"/>
            </w:rPr>
          </w:pPr>
          <w:hyperlink w:anchor="_Toc500516261" w:history="1">
            <w:r w:rsidR="00942D91" w:rsidRPr="00947BA5">
              <w:rPr>
                <w:rStyle w:val="Hyperlink"/>
                <w:noProof/>
              </w:rPr>
              <w:t>12.1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Administration</w:t>
            </w:r>
            <w:r w:rsidR="00942D91">
              <w:rPr>
                <w:noProof/>
                <w:webHidden/>
              </w:rPr>
              <w:tab/>
            </w:r>
            <w:r w:rsidR="00942D91">
              <w:rPr>
                <w:noProof/>
                <w:webHidden/>
              </w:rPr>
              <w:fldChar w:fldCharType="begin"/>
            </w:r>
            <w:r w:rsidR="00942D91">
              <w:rPr>
                <w:noProof/>
                <w:webHidden/>
              </w:rPr>
              <w:instrText xml:space="preserve"> PAGEREF _Toc500516261 \h </w:instrText>
            </w:r>
            <w:r w:rsidR="00942D91">
              <w:rPr>
                <w:noProof/>
                <w:webHidden/>
              </w:rPr>
            </w:r>
            <w:r w:rsidR="00942D91">
              <w:rPr>
                <w:noProof/>
                <w:webHidden/>
              </w:rPr>
              <w:fldChar w:fldCharType="separate"/>
            </w:r>
            <w:r>
              <w:rPr>
                <w:noProof/>
                <w:webHidden/>
              </w:rPr>
              <w:t>83</w:t>
            </w:r>
            <w:r w:rsidR="00942D91">
              <w:rPr>
                <w:noProof/>
                <w:webHidden/>
              </w:rPr>
              <w:fldChar w:fldCharType="end"/>
            </w:r>
          </w:hyperlink>
        </w:p>
        <w:p w14:paraId="297AF522" w14:textId="3E5C68EB" w:rsidR="00942D91" w:rsidRDefault="00FA2002">
          <w:pPr>
            <w:pStyle w:val="TOC2"/>
            <w:rPr>
              <w:rFonts w:asciiTheme="minorHAnsi" w:eastAsiaTheme="minorEastAsia" w:hAnsiTheme="minorHAnsi" w:cstheme="minorBidi"/>
              <w:bCs w:val="0"/>
              <w:noProof/>
              <w:sz w:val="22"/>
              <w:szCs w:val="22"/>
              <w:lang w:eastAsia="en-AU"/>
            </w:rPr>
          </w:pPr>
          <w:hyperlink w:anchor="_Toc500516262" w:history="1">
            <w:r w:rsidR="00942D91" w:rsidRPr="00947BA5">
              <w:rPr>
                <w:rStyle w:val="Hyperlink"/>
                <w:noProof/>
              </w:rPr>
              <w:t>12.2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Costs of administering the Emissions Reduction Fund</w:t>
            </w:r>
            <w:r w:rsidR="00942D91">
              <w:rPr>
                <w:noProof/>
                <w:webHidden/>
              </w:rPr>
              <w:tab/>
            </w:r>
            <w:r w:rsidR="00942D91">
              <w:rPr>
                <w:noProof/>
                <w:webHidden/>
              </w:rPr>
              <w:fldChar w:fldCharType="begin"/>
            </w:r>
            <w:r w:rsidR="00942D91">
              <w:rPr>
                <w:noProof/>
                <w:webHidden/>
              </w:rPr>
              <w:instrText xml:space="preserve"> PAGEREF _Toc500516262 \h </w:instrText>
            </w:r>
            <w:r w:rsidR="00942D91">
              <w:rPr>
                <w:noProof/>
                <w:webHidden/>
              </w:rPr>
            </w:r>
            <w:r w:rsidR="00942D91">
              <w:rPr>
                <w:noProof/>
                <w:webHidden/>
              </w:rPr>
              <w:fldChar w:fldCharType="separate"/>
            </w:r>
            <w:r>
              <w:rPr>
                <w:noProof/>
                <w:webHidden/>
              </w:rPr>
              <w:t>84</w:t>
            </w:r>
            <w:r w:rsidR="00942D91">
              <w:rPr>
                <w:noProof/>
                <w:webHidden/>
              </w:rPr>
              <w:fldChar w:fldCharType="end"/>
            </w:r>
          </w:hyperlink>
        </w:p>
        <w:p w14:paraId="6D1AF13D" w14:textId="7A31E173" w:rsidR="00942D91" w:rsidRDefault="00FA2002">
          <w:pPr>
            <w:pStyle w:val="TOC2"/>
            <w:rPr>
              <w:rFonts w:asciiTheme="minorHAnsi" w:eastAsiaTheme="minorEastAsia" w:hAnsiTheme="minorHAnsi" w:cstheme="minorBidi"/>
              <w:bCs w:val="0"/>
              <w:noProof/>
              <w:sz w:val="22"/>
              <w:szCs w:val="22"/>
              <w:lang w:eastAsia="en-AU"/>
            </w:rPr>
          </w:pPr>
          <w:hyperlink w:anchor="_Toc500516263" w:history="1">
            <w:r w:rsidR="00942D91" w:rsidRPr="00947BA5">
              <w:rPr>
                <w:rStyle w:val="Hyperlink"/>
                <w:noProof/>
              </w:rPr>
              <w:t>12.3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Compliance</w:t>
            </w:r>
            <w:r w:rsidR="00942D91">
              <w:rPr>
                <w:noProof/>
                <w:webHidden/>
              </w:rPr>
              <w:tab/>
            </w:r>
            <w:r w:rsidR="00942D91">
              <w:rPr>
                <w:noProof/>
                <w:webHidden/>
              </w:rPr>
              <w:fldChar w:fldCharType="begin"/>
            </w:r>
            <w:r w:rsidR="00942D91">
              <w:rPr>
                <w:noProof/>
                <w:webHidden/>
              </w:rPr>
              <w:instrText xml:space="preserve"> PAGEREF _Toc500516263 \h </w:instrText>
            </w:r>
            <w:r w:rsidR="00942D91">
              <w:rPr>
                <w:noProof/>
                <w:webHidden/>
              </w:rPr>
            </w:r>
            <w:r w:rsidR="00942D91">
              <w:rPr>
                <w:noProof/>
                <w:webHidden/>
              </w:rPr>
              <w:fldChar w:fldCharType="separate"/>
            </w:r>
            <w:r>
              <w:rPr>
                <w:noProof/>
                <w:webHidden/>
              </w:rPr>
              <w:t>86</w:t>
            </w:r>
            <w:r w:rsidR="00942D91">
              <w:rPr>
                <w:noProof/>
                <w:webHidden/>
              </w:rPr>
              <w:fldChar w:fldCharType="end"/>
            </w:r>
          </w:hyperlink>
        </w:p>
        <w:p w14:paraId="3DA5B3D6" w14:textId="66A2F010"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64" w:history="1">
            <w:r w:rsidR="00942D91" w:rsidRPr="00947BA5">
              <w:rPr>
                <w:rStyle w:val="Hyperlink"/>
                <w:noProof/>
              </w:rPr>
              <w:t>Chapter 13.</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International markets</w:t>
            </w:r>
            <w:r w:rsidR="00942D91">
              <w:rPr>
                <w:noProof/>
                <w:webHidden/>
              </w:rPr>
              <w:tab/>
            </w:r>
            <w:r w:rsidR="00942D91">
              <w:rPr>
                <w:noProof/>
                <w:webHidden/>
              </w:rPr>
              <w:fldChar w:fldCharType="begin"/>
            </w:r>
            <w:r w:rsidR="00942D91">
              <w:rPr>
                <w:noProof/>
                <w:webHidden/>
              </w:rPr>
              <w:instrText xml:space="preserve"> PAGEREF _Toc500516264 \h </w:instrText>
            </w:r>
            <w:r w:rsidR="00942D91">
              <w:rPr>
                <w:noProof/>
                <w:webHidden/>
              </w:rPr>
            </w:r>
            <w:r w:rsidR="00942D91">
              <w:rPr>
                <w:noProof/>
                <w:webHidden/>
              </w:rPr>
              <w:fldChar w:fldCharType="separate"/>
            </w:r>
            <w:r>
              <w:rPr>
                <w:noProof/>
                <w:webHidden/>
              </w:rPr>
              <w:t>89</w:t>
            </w:r>
            <w:r w:rsidR="00942D91">
              <w:rPr>
                <w:noProof/>
                <w:webHidden/>
              </w:rPr>
              <w:fldChar w:fldCharType="end"/>
            </w:r>
          </w:hyperlink>
        </w:p>
        <w:p w14:paraId="18F0EA31" w14:textId="13E07640" w:rsidR="00942D91" w:rsidRDefault="00FA2002">
          <w:pPr>
            <w:pStyle w:val="TOC2"/>
            <w:rPr>
              <w:rFonts w:asciiTheme="minorHAnsi" w:eastAsiaTheme="minorEastAsia" w:hAnsiTheme="minorHAnsi" w:cstheme="minorBidi"/>
              <w:bCs w:val="0"/>
              <w:noProof/>
              <w:sz w:val="22"/>
              <w:szCs w:val="22"/>
              <w:lang w:eastAsia="en-AU"/>
            </w:rPr>
          </w:pPr>
          <w:hyperlink w:anchor="_Toc500516265" w:history="1">
            <w:r w:rsidR="00942D91" w:rsidRPr="00947BA5">
              <w:rPr>
                <w:rStyle w:val="Hyperlink"/>
                <w:noProof/>
              </w:rPr>
              <w:t>13.1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International demand for Australian Carbon Credit Units</w:t>
            </w:r>
            <w:r w:rsidR="00942D91">
              <w:rPr>
                <w:noProof/>
                <w:webHidden/>
              </w:rPr>
              <w:tab/>
            </w:r>
            <w:r w:rsidR="00942D91">
              <w:rPr>
                <w:noProof/>
                <w:webHidden/>
              </w:rPr>
              <w:fldChar w:fldCharType="begin"/>
            </w:r>
            <w:r w:rsidR="00942D91">
              <w:rPr>
                <w:noProof/>
                <w:webHidden/>
              </w:rPr>
              <w:instrText xml:space="preserve"> PAGEREF _Toc500516265 \h </w:instrText>
            </w:r>
            <w:r w:rsidR="00942D91">
              <w:rPr>
                <w:noProof/>
                <w:webHidden/>
              </w:rPr>
            </w:r>
            <w:r w:rsidR="00942D91">
              <w:rPr>
                <w:noProof/>
                <w:webHidden/>
              </w:rPr>
              <w:fldChar w:fldCharType="separate"/>
            </w:r>
            <w:r>
              <w:rPr>
                <w:noProof/>
                <w:webHidden/>
              </w:rPr>
              <w:t>89</w:t>
            </w:r>
            <w:r w:rsidR="00942D91">
              <w:rPr>
                <w:noProof/>
                <w:webHidden/>
              </w:rPr>
              <w:fldChar w:fldCharType="end"/>
            </w:r>
          </w:hyperlink>
        </w:p>
        <w:p w14:paraId="6D551E48" w14:textId="25251FF6" w:rsidR="00942D91" w:rsidRDefault="00FA2002">
          <w:pPr>
            <w:pStyle w:val="TOC2"/>
            <w:rPr>
              <w:rFonts w:asciiTheme="minorHAnsi" w:eastAsiaTheme="minorEastAsia" w:hAnsiTheme="minorHAnsi" w:cstheme="minorBidi"/>
              <w:bCs w:val="0"/>
              <w:noProof/>
              <w:sz w:val="22"/>
              <w:szCs w:val="22"/>
              <w:lang w:eastAsia="en-AU"/>
            </w:rPr>
          </w:pPr>
          <w:hyperlink w:anchor="_Toc500516266" w:history="1">
            <w:r w:rsidR="00942D91" w:rsidRPr="00947BA5">
              <w:rPr>
                <w:rStyle w:val="Hyperlink"/>
                <w:noProof/>
              </w:rPr>
              <w:t>13.2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Use of international units for Emissions Reduction Fund compliance</w:t>
            </w:r>
            <w:r w:rsidR="00942D91">
              <w:rPr>
                <w:noProof/>
                <w:webHidden/>
              </w:rPr>
              <w:tab/>
            </w:r>
            <w:r w:rsidR="00942D91">
              <w:rPr>
                <w:noProof/>
                <w:webHidden/>
              </w:rPr>
              <w:fldChar w:fldCharType="begin"/>
            </w:r>
            <w:r w:rsidR="00942D91">
              <w:rPr>
                <w:noProof/>
                <w:webHidden/>
              </w:rPr>
              <w:instrText xml:space="preserve"> PAGEREF _Toc500516266 \h </w:instrText>
            </w:r>
            <w:r w:rsidR="00942D91">
              <w:rPr>
                <w:noProof/>
                <w:webHidden/>
              </w:rPr>
            </w:r>
            <w:r w:rsidR="00942D91">
              <w:rPr>
                <w:noProof/>
                <w:webHidden/>
              </w:rPr>
              <w:fldChar w:fldCharType="separate"/>
            </w:r>
            <w:r>
              <w:rPr>
                <w:noProof/>
                <w:webHidden/>
              </w:rPr>
              <w:t>90</w:t>
            </w:r>
            <w:r w:rsidR="00942D91">
              <w:rPr>
                <w:noProof/>
                <w:webHidden/>
              </w:rPr>
              <w:fldChar w:fldCharType="end"/>
            </w:r>
          </w:hyperlink>
        </w:p>
        <w:p w14:paraId="7577B11B" w14:textId="1C47E860" w:rsidR="00942D91" w:rsidRDefault="00FA2002">
          <w:pPr>
            <w:pStyle w:val="TOC2"/>
            <w:rPr>
              <w:rFonts w:asciiTheme="minorHAnsi" w:eastAsiaTheme="minorEastAsia" w:hAnsiTheme="minorHAnsi" w:cstheme="minorBidi"/>
              <w:bCs w:val="0"/>
              <w:noProof/>
              <w:sz w:val="22"/>
              <w:szCs w:val="22"/>
              <w:lang w:eastAsia="en-AU"/>
            </w:rPr>
          </w:pPr>
          <w:hyperlink w:anchor="_Toc500516267" w:history="1">
            <w:r w:rsidR="00942D91" w:rsidRPr="00947BA5">
              <w:rPr>
                <w:rStyle w:val="Hyperlink"/>
                <w:noProof/>
              </w:rPr>
              <w:t>13.3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Linking schemes in the future</w:t>
            </w:r>
            <w:r w:rsidR="00942D91">
              <w:rPr>
                <w:noProof/>
                <w:webHidden/>
              </w:rPr>
              <w:tab/>
            </w:r>
            <w:r w:rsidR="00942D91">
              <w:rPr>
                <w:noProof/>
                <w:webHidden/>
              </w:rPr>
              <w:fldChar w:fldCharType="begin"/>
            </w:r>
            <w:r w:rsidR="00942D91">
              <w:rPr>
                <w:noProof/>
                <w:webHidden/>
              </w:rPr>
              <w:instrText xml:space="preserve"> PAGEREF _Toc500516267 \h </w:instrText>
            </w:r>
            <w:r w:rsidR="00942D91">
              <w:rPr>
                <w:noProof/>
                <w:webHidden/>
              </w:rPr>
            </w:r>
            <w:r w:rsidR="00942D91">
              <w:rPr>
                <w:noProof/>
                <w:webHidden/>
              </w:rPr>
              <w:fldChar w:fldCharType="separate"/>
            </w:r>
            <w:r>
              <w:rPr>
                <w:noProof/>
                <w:webHidden/>
              </w:rPr>
              <w:t>91</w:t>
            </w:r>
            <w:r w:rsidR="00942D91">
              <w:rPr>
                <w:noProof/>
                <w:webHidden/>
              </w:rPr>
              <w:fldChar w:fldCharType="end"/>
            </w:r>
          </w:hyperlink>
        </w:p>
        <w:p w14:paraId="0BD249E1" w14:textId="0DAA73B5"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68" w:history="1">
            <w:r w:rsidR="00942D91" w:rsidRPr="00947BA5">
              <w:rPr>
                <w:rStyle w:val="Hyperlink"/>
                <w:noProof/>
              </w:rPr>
              <w:t>Chapter 14.</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The future of the Emissions Reduction Fund</w:t>
            </w:r>
            <w:r w:rsidR="00942D91">
              <w:rPr>
                <w:noProof/>
                <w:webHidden/>
              </w:rPr>
              <w:tab/>
            </w:r>
            <w:r w:rsidR="00942D91">
              <w:rPr>
                <w:noProof/>
                <w:webHidden/>
              </w:rPr>
              <w:fldChar w:fldCharType="begin"/>
            </w:r>
            <w:r w:rsidR="00942D91">
              <w:rPr>
                <w:noProof/>
                <w:webHidden/>
              </w:rPr>
              <w:instrText xml:space="preserve"> PAGEREF _Toc500516268 \h </w:instrText>
            </w:r>
            <w:r w:rsidR="00942D91">
              <w:rPr>
                <w:noProof/>
                <w:webHidden/>
              </w:rPr>
            </w:r>
            <w:r w:rsidR="00942D91">
              <w:rPr>
                <w:noProof/>
                <w:webHidden/>
              </w:rPr>
              <w:fldChar w:fldCharType="separate"/>
            </w:r>
            <w:r>
              <w:rPr>
                <w:noProof/>
                <w:webHidden/>
              </w:rPr>
              <w:t>92</w:t>
            </w:r>
            <w:r w:rsidR="00942D91">
              <w:rPr>
                <w:noProof/>
                <w:webHidden/>
              </w:rPr>
              <w:fldChar w:fldCharType="end"/>
            </w:r>
          </w:hyperlink>
        </w:p>
        <w:p w14:paraId="1D68F3F6" w14:textId="5F25AF82" w:rsidR="00942D91" w:rsidRDefault="00FA2002">
          <w:pPr>
            <w:pStyle w:val="TOC2"/>
            <w:rPr>
              <w:rFonts w:asciiTheme="minorHAnsi" w:eastAsiaTheme="minorEastAsia" w:hAnsiTheme="minorHAnsi" w:cstheme="minorBidi"/>
              <w:bCs w:val="0"/>
              <w:noProof/>
              <w:sz w:val="22"/>
              <w:szCs w:val="22"/>
              <w:lang w:eastAsia="en-AU"/>
            </w:rPr>
          </w:pPr>
          <w:hyperlink w:anchor="_Toc500516269" w:history="1">
            <w:r w:rsidR="00942D91" w:rsidRPr="00947BA5">
              <w:rPr>
                <w:rStyle w:val="Hyperlink"/>
                <w:noProof/>
              </w:rPr>
              <w:t>14.1</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 dynamic policy environment</w:t>
            </w:r>
            <w:r w:rsidR="00942D91">
              <w:rPr>
                <w:noProof/>
                <w:webHidden/>
              </w:rPr>
              <w:tab/>
            </w:r>
            <w:r w:rsidR="00942D91">
              <w:rPr>
                <w:noProof/>
                <w:webHidden/>
              </w:rPr>
              <w:fldChar w:fldCharType="begin"/>
            </w:r>
            <w:r w:rsidR="00942D91">
              <w:rPr>
                <w:noProof/>
                <w:webHidden/>
              </w:rPr>
              <w:instrText xml:space="preserve"> PAGEREF _Toc500516269 \h </w:instrText>
            </w:r>
            <w:r w:rsidR="00942D91">
              <w:rPr>
                <w:noProof/>
                <w:webHidden/>
              </w:rPr>
            </w:r>
            <w:r w:rsidR="00942D91">
              <w:rPr>
                <w:noProof/>
                <w:webHidden/>
              </w:rPr>
              <w:fldChar w:fldCharType="separate"/>
            </w:r>
            <w:r>
              <w:rPr>
                <w:noProof/>
                <w:webHidden/>
              </w:rPr>
              <w:t>92</w:t>
            </w:r>
            <w:r w:rsidR="00942D91">
              <w:rPr>
                <w:noProof/>
                <w:webHidden/>
              </w:rPr>
              <w:fldChar w:fldCharType="end"/>
            </w:r>
          </w:hyperlink>
        </w:p>
        <w:p w14:paraId="5E63F92F" w14:textId="43CAF661" w:rsidR="00942D91" w:rsidRDefault="00FA2002">
          <w:pPr>
            <w:pStyle w:val="TOC2"/>
            <w:rPr>
              <w:rFonts w:asciiTheme="minorHAnsi" w:eastAsiaTheme="minorEastAsia" w:hAnsiTheme="minorHAnsi" w:cstheme="minorBidi"/>
              <w:bCs w:val="0"/>
              <w:noProof/>
              <w:sz w:val="22"/>
              <w:szCs w:val="22"/>
              <w:lang w:eastAsia="en-AU"/>
            </w:rPr>
          </w:pPr>
          <w:hyperlink w:anchor="_Toc500516270" w:history="1">
            <w:r w:rsidR="00942D91" w:rsidRPr="00947BA5">
              <w:rPr>
                <w:rStyle w:val="Hyperlink"/>
                <w:noProof/>
              </w:rPr>
              <w:t>14.2</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Offsets for the land</w:t>
            </w:r>
            <w:r w:rsidR="00942D91">
              <w:rPr>
                <w:noProof/>
                <w:webHidden/>
              </w:rPr>
              <w:tab/>
            </w:r>
            <w:r w:rsidR="00942D91">
              <w:rPr>
                <w:noProof/>
                <w:webHidden/>
              </w:rPr>
              <w:fldChar w:fldCharType="begin"/>
            </w:r>
            <w:r w:rsidR="00942D91">
              <w:rPr>
                <w:noProof/>
                <w:webHidden/>
              </w:rPr>
              <w:instrText xml:space="preserve"> PAGEREF _Toc500516270 \h </w:instrText>
            </w:r>
            <w:r w:rsidR="00942D91">
              <w:rPr>
                <w:noProof/>
                <w:webHidden/>
              </w:rPr>
            </w:r>
            <w:r w:rsidR="00942D91">
              <w:rPr>
                <w:noProof/>
                <w:webHidden/>
              </w:rPr>
              <w:fldChar w:fldCharType="separate"/>
            </w:r>
            <w:r>
              <w:rPr>
                <w:noProof/>
                <w:webHidden/>
              </w:rPr>
              <w:t>92</w:t>
            </w:r>
            <w:r w:rsidR="00942D91">
              <w:rPr>
                <w:noProof/>
                <w:webHidden/>
              </w:rPr>
              <w:fldChar w:fldCharType="end"/>
            </w:r>
          </w:hyperlink>
        </w:p>
        <w:p w14:paraId="3C5B7197" w14:textId="5C5AAD25" w:rsidR="00942D91" w:rsidRDefault="00FA2002">
          <w:pPr>
            <w:pStyle w:val="TOC2"/>
            <w:rPr>
              <w:rFonts w:asciiTheme="minorHAnsi" w:eastAsiaTheme="minorEastAsia" w:hAnsiTheme="minorHAnsi" w:cstheme="minorBidi"/>
              <w:bCs w:val="0"/>
              <w:noProof/>
              <w:sz w:val="22"/>
              <w:szCs w:val="22"/>
              <w:lang w:eastAsia="en-AU"/>
            </w:rPr>
          </w:pPr>
          <w:hyperlink w:anchor="_Toc500516271" w:history="1">
            <w:r w:rsidR="00942D91" w:rsidRPr="00947BA5">
              <w:rPr>
                <w:rStyle w:val="Hyperlink"/>
                <w:noProof/>
              </w:rPr>
              <w:t>14.3</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Emissions Reduction Fund: from Government purchase to a private market</w:t>
            </w:r>
            <w:r w:rsidR="00942D91">
              <w:rPr>
                <w:noProof/>
                <w:webHidden/>
              </w:rPr>
              <w:tab/>
            </w:r>
            <w:r w:rsidR="00942D91">
              <w:rPr>
                <w:noProof/>
                <w:webHidden/>
              </w:rPr>
              <w:fldChar w:fldCharType="begin"/>
            </w:r>
            <w:r w:rsidR="00942D91">
              <w:rPr>
                <w:noProof/>
                <w:webHidden/>
              </w:rPr>
              <w:instrText xml:space="preserve"> PAGEREF _Toc500516271 \h </w:instrText>
            </w:r>
            <w:r w:rsidR="00942D91">
              <w:rPr>
                <w:noProof/>
                <w:webHidden/>
              </w:rPr>
            </w:r>
            <w:r w:rsidR="00942D91">
              <w:rPr>
                <w:noProof/>
                <w:webHidden/>
              </w:rPr>
              <w:fldChar w:fldCharType="separate"/>
            </w:r>
            <w:r>
              <w:rPr>
                <w:noProof/>
                <w:webHidden/>
              </w:rPr>
              <w:t>94</w:t>
            </w:r>
            <w:r w:rsidR="00942D91">
              <w:rPr>
                <w:noProof/>
                <w:webHidden/>
              </w:rPr>
              <w:fldChar w:fldCharType="end"/>
            </w:r>
          </w:hyperlink>
        </w:p>
        <w:p w14:paraId="1B218ED1" w14:textId="1DB15057" w:rsidR="00942D91" w:rsidRDefault="00FA2002">
          <w:pPr>
            <w:pStyle w:val="TOC2"/>
            <w:rPr>
              <w:rFonts w:asciiTheme="minorHAnsi" w:eastAsiaTheme="minorEastAsia" w:hAnsiTheme="minorHAnsi" w:cstheme="minorBidi"/>
              <w:bCs w:val="0"/>
              <w:noProof/>
              <w:sz w:val="22"/>
              <w:szCs w:val="22"/>
              <w:lang w:eastAsia="en-AU"/>
            </w:rPr>
          </w:pPr>
          <w:hyperlink w:anchor="_Toc500516272" w:history="1">
            <w:r w:rsidR="00942D91" w:rsidRPr="00947BA5">
              <w:rPr>
                <w:rStyle w:val="Hyperlink"/>
                <w:noProof/>
              </w:rPr>
              <w:t>14.4</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Building on existing investments</w:t>
            </w:r>
            <w:r w:rsidR="00942D91">
              <w:rPr>
                <w:noProof/>
                <w:webHidden/>
              </w:rPr>
              <w:tab/>
            </w:r>
            <w:r w:rsidR="00942D91">
              <w:rPr>
                <w:noProof/>
                <w:webHidden/>
              </w:rPr>
              <w:fldChar w:fldCharType="begin"/>
            </w:r>
            <w:r w:rsidR="00942D91">
              <w:rPr>
                <w:noProof/>
                <w:webHidden/>
              </w:rPr>
              <w:instrText xml:space="preserve"> PAGEREF _Toc500516272 \h </w:instrText>
            </w:r>
            <w:r w:rsidR="00942D91">
              <w:rPr>
                <w:noProof/>
                <w:webHidden/>
              </w:rPr>
            </w:r>
            <w:r w:rsidR="00942D91">
              <w:rPr>
                <w:noProof/>
                <w:webHidden/>
              </w:rPr>
              <w:fldChar w:fldCharType="separate"/>
            </w:r>
            <w:r>
              <w:rPr>
                <w:noProof/>
                <w:webHidden/>
              </w:rPr>
              <w:t>94</w:t>
            </w:r>
            <w:r w:rsidR="00942D91">
              <w:rPr>
                <w:noProof/>
                <w:webHidden/>
              </w:rPr>
              <w:fldChar w:fldCharType="end"/>
            </w:r>
          </w:hyperlink>
        </w:p>
        <w:p w14:paraId="71709D0C" w14:textId="3663E2A9" w:rsidR="00942D91" w:rsidRDefault="00FA2002">
          <w:pPr>
            <w:pStyle w:val="TOC2"/>
            <w:rPr>
              <w:rFonts w:asciiTheme="minorHAnsi" w:eastAsiaTheme="minorEastAsia" w:hAnsiTheme="minorHAnsi" w:cstheme="minorBidi"/>
              <w:bCs w:val="0"/>
              <w:noProof/>
              <w:sz w:val="22"/>
              <w:szCs w:val="22"/>
              <w:lang w:eastAsia="en-AU"/>
            </w:rPr>
          </w:pPr>
          <w:hyperlink w:anchor="_Toc500516273" w:history="1">
            <w:r w:rsidR="00942D91" w:rsidRPr="00947BA5">
              <w:rPr>
                <w:rStyle w:val="Hyperlink"/>
                <w:noProof/>
              </w:rPr>
              <w:t>14.5</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A predictable and transparent policy transition</w:t>
            </w:r>
            <w:r w:rsidR="00942D91">
              <w:rPr>
                <w:noProof/>
                <w:webHidden/>
              </w:rPr>
              <w:tab/>
            </w:r>
            <w:r w:rsidR="00942D91">
              <w:rPr>
                <w:noProof/>
                <w:webHidden/>
              </w:rPr>
              <w:fldChar w:fldCharType="begin"/>
            </w:r>
            <w:r w:rsidR="00942D91">
              <w:rPr>
                <w:noProof/>
                <w:webHidden/>
              </w:rPr>
              <w:instrText xml:space="preserve"> PAGEREF _Toc500516273 \h </w:instrText>
            </w:r>
            <w:r w:rsidR="00942D91">
              <w:rPr>
                <w:noProof/>
                <w:webHidden/>
              </w:rPr>
            </w:r>
            <w:r w:rsidR="00942D91">
              <w:rPr>
                <w:noProof/>
                <w:webHidden/>
              </w:rPr>
              <w:fldChar w:fldCharType="separate"/>
            </w:r>
            <w:r>
              <w:rPr>
                <w:noProof/>
                <w:webHidden/>
              </w:rPr>
              <w:t>95</w:t>
            </w:r>
            <w:r w:rsidR="00942D91">
              <w:rPr>
                <w:noProof/>
                <w:webHidden/>
              </w:rPr>
              <w:fldChar w:fldCharType="end"/>
            </w:r>
          </w:hyperlink>
        </w:p>
        <w:p w14:paraId="0845CD40" w14:textId="30FB4B0E" w:rsidR="00942D91" w:rsidRDefault="00FA2002">
          <w:pPr>
            <w:pStyle w:val="TOC2"/>
            <w:rPr>
              <w:rFonts w:asciiTheme="minorHAnsi" w:eastAsiaTheme="minorEastAsia" w:hAnsiTheme="minorHAnsi" w:cstheme="minorBidi"/>
              <w:bCs w:val="0"/>
              <w:noProof/>
              <w:sz w:val="22"/>
              <w:szCs w:val="22"/>
              <w:lang w:eastAsia="en-AU"/>
            </w:rPr>
          </w:pPr>
          <w:hyperlink w:anchor="_Toc500516274" w:history="1">
            <w:r w:rsidR="00942D91" w:rsidRPr="00947BA5">
              <w:rPr>
                <w:rStyle w:val="Hyperlink"/>
                <w:noProof/>
              </w:rPr>
              <w:t>14.6</w:t>
            </w:r>
            <w:r w:rsidR="00942D91">
              <w:rPr>
                <w:rFonts w:asciiTheme="minorHAnsi" w:eastAsiaTheme="minorEastAsia" w:hAnsiTheme="minorHAnsi" w:cstheme="minorBidi"/>
                <w:bCs w:val="0"/>
                <w:noProof/>
                <w:sz w:val="22"/>
                <w:szCs w:val="22"/>
                <w:lang w:eastAsia="en-AU"/>
              </w:rPr>
              <w:tab/>
            </w:r>
            <w:r w:rsidR="00942D91" w:rsidRPr="00947BA5">
              <w:rPr>
                <w:rStyle w:val="Hyperlink"/>
                <w:noProof/>
              </w:rPr>
              <w:t>Principles for transition</w:t>
            </w:r>
            <w:r w:rsidR="00942D91">
              <w:rPr>
                <w:noProof/>
                <w:webHidden/>
              </w:rPr>
              <w:tab/>
            </w:r>
            <w:r w:rsidR="00942D91">
              <w:rPr>
                <w:noProof/>
                <w:webHidden/>
              </w:rPr>
              <w:fldChar w:fldCharType="begin"/>
            </w:r>
            <w:r w:rsidR="00942D91">
              <w:rPr>
                <w:noProof/>
                <w:webHidden/>
              </w:rPr>
              <w:instrText xml:space="preserve"> PAGEREF _Toc500516274 \h </w:instrText>
            </w:r>
            <w:r w:rsidR="00942D91">
              <w:rPr>
                <w:noProof/>
                <w:webHidden/>
              </w:rPr>
            </w:r>
            <w:r w:rsidR="00942D91">
              <w:rPr>
                <w:noProof/>
                <w:webHidden/>
              </w:rPr>
              <w:fldChar w:fldCharType="separate"/>
            </w:r>
            <w:r>
              <w:rPr>
                <w:noProof/>
                <w:webHidden/>
              </w:rPr>
              <w:t>95</w:t>
            </w:r>
            <w:r w:rsidR="00942D91">
              <w:rPr>
                <w:noProof/>
                <w:webHidden/>
              </w:rPr>
              <w:fldChar w:fldCharType="end"/>
            </w:r>
          </w:hyperlink>
        </w:p>
        <w:p w14:paraId="78DFB556" w14:textId="337B33E0"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75" w:history="1">
            <w:r w:rsidR="00942D91" w:rsidRPr="00947BA5">
              <w:rPr>
                <w:rStyle w:val="Hyperlink"/>
                <w:noProof/>
              </w:rPr>
              <w:t>Chapter 15.</w:t>
            </w:r>
            <w:r w:rsidR="00942D91">
              <w:rPr>
                <w:rFonts w:asciiTheme="minorHAnsi" w:eastAsiaTheme="minorEastAsia" w:hAnsiTheme="minorHAnsi" w:cstheme="minorBidi"/>
                <w:b w:val="0"/>
                <w:bCs w:val="0"/>
                <w:caps w:val="0"/>
                <w:noProof/>
                <w:color w:val="auto"/>
                <w:szCs w:val="22"/>
                <w:lang w:eastAsia="en-AU"/>
              </w:rPr>
              <w:tab/>
            </w:r>
            <w:r w:rsidR="00942D91" w:rsidRPr="00947BA5">
              <w:rPr>
                <w:rStyle w:val="Hyperlink"/>
                <w:noProof/>
              </w:rPr>
              <w:t>Conclusion</w:t>
            </w:r>
            <w:r w:rsidR="00942D91">
              <w:rPr>
                <w:noProof/>
                <w:webHidden/>
              </w:rPr>
              <w:tab/>
            </w:r>
            <w:r w:rsidR="00942D91">
              <w:rPr>
                <w:noProof/>
                <w:webHidden/>
              </w:rPr>
              <w:fldChar w:fldCharType="begin"/>
            </w:r>
            <w:r w:rsidR="00942D91">
              <w:rPr>
                <w:noProof/>
                <w:webHidden/>
              </w:rPr>
              <w:instrText xml:space="preserve"> PAGEREF _Toc500516275 \h </w:instrText>
            </w:r>
            <w:r w:rsidR="00942D91">
              <w:rPr>
                <w:noProof/>
                <w:webHidden/>
              </w:rPr>
            </w:r>
            <w:r w:rsidR="00942D91">
              <w:rPr>
                <w:noProof/>
                <w:webHidden/>
              </w:rPr>
              <w:fldChar w:fldCharType="separate"/>
            </w:r>
            <w:r>
              <w:rPr>
                <w:noProof/>
                <w:webHidden/>
              </w:rPr>
              <w:t>97</w:t>
            </w:r>
            <w:r w:rsidR="00942D91">
              <w:rPr>
                <w:noProof/>
                <w:webHidden/>
              </w:rPr>
              <w:fldChar w:fldCharType="end"/>
            </w:r>
          </w:hyperlink>
        </w:p>
        <w:p w14:paraId="393CA113" w14:textId="1881DF69"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76" w:history="1">
            <w:r w:rsidR="00942D91" w:rsidRPr="00947BA5">
              <w:rPr>
                <w:rStyle w:val="Hyperlink"/>
                <w:noProof/>
              </w:rPr>
              <w:t>Appendix A: Guiding principles for this review</w:t>
            </w:r>
            <w:r w:rsidR="00942D91">
              <w:rPr>
                <w:noProof/>
                <w:webHidden/>
              </w:rPr>
              <w:tab/>
            </w:r>
            <w:r w:rsidR="00942D91">
              <w:rPr>
                <w:noProof/>
                <w:webHidden/>
              </w:rPr>
              <w:fldChar w:fldCharType="begin"/>
            </w:r>
            <w:r w:rsidR="00942D91">
              <w:rPr>
                <w:noProof/>
                <w:webHidden/>
              </w:rPr>
              <w:instrText xml:space="preserve"> PAGEREF _Toc500516276 \h </w:instrText>
            </w:r>
            <w:r w:rsidR="00942D91">
              <w:rPr>
                <w:noProof/>
                <w:webHidden/>
              </w:rPr>
            </w:r>
            <w:r w:rsidR="00942D91">
              <w:rPr>
                <w:noProof/>
                <w:webHidden/>
              </w:rPr>
              <w:fldChar w:fldCharType="separate"/>
            </w:r>
            <w:r>
              <w:rPr>
                <w:noProof/>
                <w:webHidden/>
              </w:rPr>
              <w:t>98</w:t>
            </w:r>
            <w:r w:rsidR="00942D91">
              <w:rPr>
                <w:noProof/>
                <w:webHidden/>
              </w:rPr>
              <w:fldChar w:fldCharType="end"/>
            </w:r>
          </w:hyperlink>
        </w:p>
        <w:p w14:paraId="65FC210E" w14:textId="49647A1D"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77" w:history="1">
            <w:r w:rsidR="00942D91" w:rsidRPr="00947BA5">
              <w:rPr>
                <w:rStyle w:val="Hyperlink"/>
                <w:noProof/>
              </w:rPr>
              <w:t>Appendix B: Public consultations</w:t>
            </w:r>
            <w:r w:rsidR="00942D91">
              <w:rPr>
                <w:noProof/>
                <w:webHidden/>
              </w:rPr>
              <w:tab/>
            </w:r>
            <w:r w:rsidR="00942D91">
              <w:rPr>
                <w:noProof/>
                <w:webHidden/>
              </w:rPr>
              <w:fldChar w:fldCharType="begin"/>
            </w:r>
            <w:r w:rsidR="00942D91">
              <w:rPr>
                <w:noProof/>
                <w:webHidden/>
              </w:rPr>
              <w:instrText xml:space="preserve"> PAGEREF _Toc500516277 \h </w:instrText>
            </w:r>
            <w:r w:rsidR="00942D91">
              <w:rPr>
                <w:noProof/>
                <w:webHidden/>
              </w:rPr>
            </w:r>
            <w:r w:rsidR="00942D91">
              <w:rPr>
                <w:noProof/>
                <w:webHidden/>
              </w:rPr>
              <w:fldChar w:fldCharType="separate"/>
            </w:r>
            <w:r>
              <w:rPr>
                <w:noProof/>
                <w:webHidden/>
              </w:rPr>
              <w:t>99</w:t>
            </w:r>
            <w:r w:rsidR="00942D91">
              <w:rPr>
                <w:noProof/>
                <w:webHidden/>
              </w:rPr>
              <w:fldChar w:fldCharType="end"/>
            </w:r>
          </w:hyperlink>
        </w:p>
        <w:p w14:paraId="148CF70C" w14:textId="2EAD8281"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78" w:history="1">
            <w:r w:rsidR="00942D91" w:rsidRPr="00947BA5">
              <w:rPr>
                <w:rStyle w:val="Hyperlink"/>
                <w:noProof/>
              </w:rPr>
              <w:t>Appendix C: Outline of methods under the emissions reduction fund</w:t>
            </w:r>
            <w:r w:rsidR="00942D91">
              <w:rPr>
                <w:noProof/>
                <w:webHidden/>
              </w:rPr>
              <w:tab/>
            </w:r>
            <w:r w:rsidR="00942D91">
              <w:rPr>
                <w:noProof/>
                <w:webHidden/>
              </w:rPr>
              <w:fldChar w:fldCharType="begin"/>
            </w:r>
            <w:r w:rsidR="00942D91">
              <w:rPr>
                <w:noProof/>
                <w:webHidden/>
              </w:rPr>
              <w:instrText xml:space="preserve"> PAGEREF _Toc500516278 \h </w:instrText>
            </w:r>
            <w:r w:rsidR="00942D91">
              <w:rPr>
                <w:noProof/>
                <w:webHidden/>
              </w:rPr>
            </w:r>
            <w:r w:rsidR="00942D91">
              <w:rPr>
                <w:noProof/>
                <w:webHidden/>
              </w:rPr>
              <w:fldChar w:fldCharType="separate"/>
            </w:r>
            <w:r>
              <w:rPr>
                <w:noProof/>
                <w:webHidden/>
              </w:rPr>
              <w:t>100</w:t>
            </w:r>
            <w:r w:rsidR="00942D91">
              <w:rPr>
                <w:noProof/>
                <w:webHidden/>
              </w:rPr>
              <w:fldChar w:fldCharType="end"/>
            </w:r>
          </w:hyperlink>
        </w:p>
        <w:p w14:paraId="7EEE3C7B" w14:textId="51744BC7"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79" w:history="1">
            <w:r w:rsidR="00942D91" w:rsidRPr="00947BA5">
              <w:rPr>
                <w:rStyle w:val="Hyperlink"/>
                <w:noProof/>
              </w:rPr>
              <w:t>Appendix D: Comparing the cost of the Emissions Reduction Fund with other government programs</w:t>
            </w:r>
            <w:r w:rsidR="00942D91">
              <w:rPr>
                <w:noProof/>
                <w:webHidden/>
              </w:rPr>
              <w:tab/>
            </w:r>
            <w:r w:rsidR="00942D91">
              <w:rPr>
                <w:noProof/>
                <w:webHidden/>
              </w:rPr>
              <w:fldChar w:fldCharType="begin"/>
            </w:r>
            <w:r w:rsidR="00942D91">
              <w:rPr>
                <w:noProof/>
                <w:webHidden/>
              </w:rPr>
              <w:instrText xml:space="preserve"> PAGEREF _Toc500516279 \h </w:instrText>
            </w:r>
            <w:r w:rsidR="00942D91">
              <w:rPr>
                <w:noProof/>
                <w:webHidden/>
              </w:rPr>
            </w:r>
            <w:r w:rsidR="00942D91">
              <w:rPr>
                <w:noProof/>
                <w:webHidden/>
              </w:rPr>
              <w:fldChar w:fldCharType="separate"/>
            </w:r>
            <w:r>
              <w:rPr>
                <w:noProof/>
                <w:webHidden/>
              </w:rPr>
              <w:t>103</w:t>
            </w:r>
            <w:r w:rsidR="00942D91">
              <w:rPr>
                <w:noProof/>
                <w:webHidden/>
              </w:rPr>
              <w:fldChar w:fldCharType="end"/>
            </w:r>
          </w:hyperlink>
        </w:p>
        <w:p w14:paraId="14933292" w14:textId="758C04FB"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80" w:history="1">
            <w:r w:rsidR="00942D91" w:rsidRPr="00947BA5">
              <w:rPr>
                <w:rStyle w:val="Hyperlink"/>
                <w:noProof/>
              </w:rPr>
              <w:t>Appendix E: Overview of the costs and benefits of the authority’s recommendations</w:t>
            </w:r>
            <w:r w:rsidR="00942D91">
              <w:rPr>
                <w:noProof/>
                <w:webHidden/>
              </w:rPr>
              <w:tab/>
            </w:r>
            <w:r w:rsidR="00942D91">
              <w:rPr>
                <w:noProof/>
                <w:webHidden/>
              </w:rPr>
              <w:fldChar w:fldCharType="begin"/>
            </w:r>
            <w:r w:rsidR="00942D91">
              <w:rPr>
                <w:noProof/>
                <w:webHidden/>
              </w:rPr>
              <w:instrText xml:space="preserve"> PAGEREF _Toc500516280 \h </w:instrText>
            </w:r>
            <w:r w:rsidR="00942D91">
              <w:rPr>
                <w:noProof/>
                <w:webHidden/>
              </w:rPr>
            </w:r>
            <w:r w:rsidR="00942D91">
              <w:rPr>
                <w:noProof/>
                <w:webHidden/>
              </w:rPr>
              <w:fldChar w:fldCharType="separate"/>
            </w:r>
            <w:r>
              <w:rPr>
                <w:noProof/>
                <w:webHidden/>
              </w:rPr>
              <w:t>105</w:t>
            </w:r>
            <w:r w:rsidR="00942D91">
              <w:rPr>
                <w:noProof/>
                <w:webHidden/>
              </w:rPr>
              <w:fldChar w:fldCharType="end"/>
            </w:r>
          </w:hyperlink>
        </w:p>
        <w:p w14:paraId="6E07D67D" w14:textId="17A7FC69"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81" w:history="1">
            <w:r w:rsidR="00942D91" w:rsidRPr="00947BA5">
              <w:rPr>
                <w:rStyle w:val="Hyperlink"/>
                <w:noProof/>
              </w:rPr>
              <w:t>Glossary of terms</w:t>
            </w:r>
            <w:r w:rsidR="00942D91">
              <w:rPr>
                <w:noProof/>
                <w:webHidden/>
              </w:rPr>
              <w:tab/>
            </w:r>
            <w:r w:rsidR="00942D91">
              <w:rPr>
                <w:noProof/>
                <w:webHidden/>
              </w:rPr>
              <w:fldChar w:fldCharType="begin"/>
            </w:r>
            <w:r w:rsidR="00942D91">
              <w:rPr>
                <w:noProof/>
                <w:webHidden/>
              </w:rPr>
              <w:instrText xml:space="preserve"> PAGEREF _Toc500516281 \h </w:instrText>
            </w:r>
            <w:r w:rsidR="00942D91">
              <w:rPr>
                <w:noProof/>
                <w:webHidden/>
              </w:rPr>
            </w:r>
            <w:r w:rsidR="00942D91">
              <w:rPr>
                <w:noProof/>
                <w:webHidden/>
              </w:rPr>
              <w:fldChar w:fldCharType="separate"/>
            </w:r>
            <w:r>
              <w:rPr>
                <w:noProof/>
                <w:webHidden/>
              </w:rPr>
              <w:t>112</w:t>
            </w:r>
            <w:r w:rsidR="00942D91">
              <w:rPr>
                <w:noProof/>
                <w:webHidden/>
              </w:rPr>
              <w:fldChar w:fldCharType="end"/>
            </w:r>
          </w:hyperlink>
        </w:p>
        <w:p w14:paraId="3DBC763E" w14:textId="228AF8ED"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82" w:history="1">
            <w:r w:rsidR="00942D91" w:rsidRPr="00947BA5">
              <w:rPr>
                <w:rStyle w:val="Hyperlink"/>
                <w:noProof/>
                <w:lang w:val="en-GB"/>
              </w:rPr>
              <w:t>Abbreviations and acronyms</w:t>
            </w:r>
            <w:r w:rsidR="00942D91">
              <w:rPr>
                <w:noProof/>
                <w:webHidden/>
              </w:rPr>
              <w:tab/>
            </w:r>
            <w:r w:rsidR="00942D91">
              <w:rPr>
                <w:noProof/>
                <w:webHidden/>
              </w:rPr>
              <w:fldChar w:fldCharType="begin"/>
            </w:r>
            <w:r w:rsidR="00942D91">
              <w:rPr>
                <w:noProof/>
                <w:webHidden/>
              </w:rPr>
              <w:instrText xml:space="preserve"> PAGEREF _Toc500516282 \h </w:instrText>
            </w:r>
            <w:r w:rsidR="00942D91">
              <w:rPr>
                <w:noProof/>
                <w:webHidden/>
              </w:rPr>
            </w:r>
            <w:r w:rsidR="00942D91">
              <w:rPr>
                <w:noProof/>
                <w:webHidden/>
              </w:rPr>
              <w:fldChar w:fldCharType="separate"/>
            </w:r>
            <w:r>
              <w:rPr>
                <w:noProof/>
                <w:webHidden/>
              </w:rPr>
              <w:t>114</w:t>
            </w:r>
            <w:r w:rsidR="00942D91">
              <w:rPr>
                <w:noProof/>
                <w:webHidden/>
              </w:rPr>
              <w:fldChar w:fldCharType="end"/>
            </w:r>
          </w:hyperlink>
        </w:p>
        <w:p w14:paraId="0210F3AE" w14:textId="41BB9923" w:rsidR="00942D91" w:rsidRDefault="00FA2002">
          <w:pPr>
            <w:pStyle w:val="TOC1"/>
            <w:rPr>
              <w:rFonts w:asciiTheme="minorHAnsi" w:eastAsiaTheme="minorEastAsia" w:hAnsiTheme="minorHAnsi" w:cstheme="minorBidi"/>
              <w:b w:val="0"/>
              <w:bCs w:val="0"/>
              <w:caps w:val="0"/>
              <w:noProof/>
              <w:color w:val="auto"/>
              <w:szCs w:val="22"/>
              <w:lang w:eastAsia="en-AU"/>
            </w:rPr>
          </w:pPr>
          <w:hyperlink w:anchor="_Toc500516283" w:history="1">
            <w:r w:rsidR="00942D91" w:rsidRPr="00947BA5">
              <w:rPr>
                <w:rStyle w:val="Hyperlink"/>
                <w:noProof/>
              </w:rPr>
              <w:t>References</w:t>
            </w:r>
            <w:r w:rsidR="00942D91">
              <w:rPr>
                <w:noProof/>
                <w:webHidden/>
              </w:rPr>
              <w:tab/>
            </w:r>
            <w:r w:rsidR="00D03260">
              <w:rPr>
                <w:noProof/>
                <w:webHidden/>
              </w:rPr>
              <w:tab/>
            </w:r>
            <w:r w:rsidR="00942D91">
              <w:rPr>
                <w:noProof/>
                <w:webHidden/>
              </w:rPr>
              <w:fldChar w:fldCharType="begin"/>
            </w:r>
            <w:r w:rsidR="00942D91">
              <w:rPr>
                <w:noProof/>
                <w:webHidden/>
              </w:rPr>
              <w:instrText xml:space="preserve"> PAGEREF _Toc500516283 \h </w:instrText>
            </w:r>
            <w:r w:rsidR="00942D91">
              <w:rPr>
                <w:noProof/>
                <w:webHidden/>
              </w:rPr>
            </w:r>
            <w:r w:rsidR="00942D91">
              <w:rPr>
                <w:noProof/>
                <w:webHidden/>
              </w:rPr>
              <w:fldChar w:fldCharType="separate"/>
            </w:r>
            <w:r>
              <w:rPr>
                <w:noProof/>
                <w:webHidden/>
              </w:rPr>
              <w:t>115</w:t>
            </w:r>
            <w:r w:rsidR="00942D91">
              <w:rPr>
                <w:noProof/>
                <w:webHidden/>
              </w:rPr>
              <w:fldChar w:fldCharType="end"/>
            </w:r>
          </w:hyperlink>
        </w:p>
        <w:p w14:paraId="7DDB8358" w14:textId="1E885FD7" w:rsidR="009E4B7E" w:rsidRDefault="00AD7B14" w:rsidP="006342AA">
          <w:pPr>
            <w:rPr>
              <w:lang w:val="en-US"/>
            </w:rPr>
          </w:pPr>
          <w:r w:rsidRPr="005206CA">
            <w:rPr>
              <w:lang w:val="en-US"/>
            </w:rPr>
            <w:fldChar w:fldCharType="end"/>
          </w:r>
          <w:r w:rsidR="009E4B7E">
            <w:rPr>
              <w:lang w:val="en-US"/>
            </w:rPr>
            <w:br w:type="page"/>
          </w:r>
        </w:p>
        <w:p w14:paraId="717A9AC0" w14:textId="1FB50E21" w:rsidR="006342AA" w:rsidRPr="005206CA" w:rsidRDefault="006342AA" w:rsidP="006342AA">
          <w:pPr>
            <w:pStyle w:val="TableofFigures"/>
            <w:tabs>
              <w:tab w:val="right" w:leader="dot" w:pos="9202"/>
            </w:tabs>
            <w:rPr>
              <w:b/>
            </w:rPr>
          </w:pPr>
          <w:r w:rsidRPr="005206CA">
            <w:rPr>
              <w:rFonts w:cs="Arial"/>
              <w:b/>
              <w:color w:val="309CC8"/>
              <w:sz w:val="22"/>
            </w:rPr>
            <w:t>Figures</w:t>
          </w:r>
          <w:r w:rsidR="00CD542A">
            <w:rPr>
              <w:rFonts w:cs="Arial"/>
              <w:b/>
              <w:color w:val="309CC8"/>
              <w:sz w:val="22"/>
            </w:rPr>
            <w:t xml:space="preserve"> </w:t>
          </w:r>
        </w:p>
        <w:p w14:paraId="2B25A0E4" w14:textId="35E5605C" w:rsidR="00942D91" w:rsidRDefault="006342AA">
          <w:pPr>
            <w:pStyle w:val="TableofFigures"/>
            <w:tabs>
              <w:tab w:val="right" w:leader="dot" w:pos="9202"/>
            </w:tabs>
            <w:rPr>
              <w:rFonts w:asciiTheme="minorHAnsi" w:eastAsiaTheme="minorEastAsia" w:hAnsiTheme="minorHAnsi" w:cstheme="minorBidi"/>
              <w:noProof/>
              <w:sz w:val="22"/>
              <w:lang w:eastAsia="en-AU"/>
            </w:rPr>
          </w:pPr>
          <w:r w:rsidRPr="005206CA">
            <w:fldChar w:fldCharType="begin"/>
          </w:r>
          <w:r w:rsidRPr="005206CA">
            <w:instrText xml:space="preserve"> TOC \h \z \c "Figure" </w:instrText>
          </w:r>
          <w:r w:rsidRPr="005206CA">
            <w:fldChar w:fldCharType="separate"/>
          </w:r>
          <w:hyperlink w:anchor="_Toc500516169" w:history="1">
            <w:r w:rsidR="00942D91" w:rsidRPr="00BA0C36">
              <w:rPr>
                <w:rStyle w:val="Hyperlink"/>
                <w:rFonts w:cs="Arial"/>
                <w:noProof/>
              </w:rPr>
              <w:t>Figure 1: The ERF Process</w:t>
            </w:r>
            <w:r w:rsidR="00942D91">
              <w:rPr>
                <w:noProof/>
                <w:webHidden/>
              </w:rPr>
              <w:tab/>
            </w:r>
            <w:r w:rsidR="00942D91">
              <w:rPr>
                <w:noProof/>
                <w:webHidden/>
              </w:rPr>
              <w:fldChar w:fldCharType="begin"/>
            </w:r>
            <w:r w:rsidR="00942D91">
              <w:rPr>
                <w:noProof/>
                <w:webHidden/>
              </w:rPr>
              <w:instrText xml:space="preserve"> PAGEREF _Toc500516169 \h </w:instrText>
            </w:r>
            <w:r w:rsidR="00942D91">
              <w:rPr>
                <w:noProof/>
                <w:webHidden/>
              </w:rPr>
            </w:r>
            <w:r w:rsidR="00942D91">
              <w:rPr>
                <w:noProof/>
                <w:webHidden/>
              </w:rPr>
              <w:fldChar w:fldCharType="separate"/>
            </w:r>
            <w:r w:rsidR="00FA2002">
              <w:rPr>
                <w:noProof/>
                <w:webHidden/>
              </w:rPr>
              <w:t>18</w:t>
            </w:r>
            <w:r w:rsidR="00942D91">
              <w:rPr>
                <w:noProof/>
                <w:webHidden/>
              </w:rPr>
              <w:fldChar w:fldCharType="end"/>
            </w:r>
          </w:hyperlink>
        </w:p>
        <w:p w14:paraId="5D9A09C4" w14:textId="3BAE85CF"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0" w:history="1">
            <w:r w:rsidR="00942D91" w:rsidRPr="00BA0C36">
              <w:rPr>
                <w:rStyle w:val="Hyperlink"/>
                <w:noProof/>
              </w:rPr>
              <w:t xml:space="preserve">Figure 2: </w:t>
            </w:r>
            <w:r w:rsidR="00942D91" w:rsidRPr="00D03260">
              <w:rPr>
                <w:rStyle w:val="Hyperlink"/>
                <w:noProof/>
                <w:spacing w:val="-2"/>
              </w:rPr>
              <w:t>Volume of contracted emissions reductions under the ERF by sector (million tonnes CO</w:t>
            </w:r>
            <w:r w:rsidR="00942D91" w:rsidRPr="00D03260">
              <w:rPr>
                <w:rStyle w:val="Hyperlink"/>
                <w:noProof/>
                <w:spacing w:val="-2"/>
                <w:vertAlign w:val="subscript"/>
              </w:rPr>
              <w:t>2</w:t>
            </w:r>
            <w:r w:rsidR="00942D91" w:rsidRPr="00D03260">
              <w:rPr>
                <w:rStyle w:val="Hyperlink"/>
                <w:noProof/>
                <w:spacing w:val="-2"/>
              </w:rPr>
              <w:t>-e)</w:t>
            </w:r>
            <w:r w:rsidR="00942D91">
              <w:rPr>
                <w:noProof/>
                <w:webHidden/>
              </w:rPr>
              <w:tab/>
            </w:r>
            <w:r w:rsidR="00942D91">
              <w:rPr>
                <w:noProof/>
                <w:webHidden/>
              </w:rPr>
              <w:fldChar w:fldCharType="begin"/>
            </w:r>
            <w:r w:rsidR="00942D91">
              <w:rPr>
                <w:noProof/>
                <w:webHidden/>
              </w:rPr>
              <w:instrText xml:space="preserve"> PAGEREF _Toc500516170 \h </w:instrText>
            </w:r>
            <w:r w:rsidR="00942D91">
              <w:rPr>
                <w:noProof/>
                <w:webHidden/>
              </w:rPr>
            </w:r>
            <w:r w:rsidR="00942D91">
              <w:rPr>
                <w:noProof/>
                <w:webHidden/>
              </w:rPr>
              <w:fldChar w:fldCharType="separate"/>
            </w:r>
            <w:r>
              <w:rPr>
                <w:noProof/>
                <w:webHidden/>
              </w:rPr>
              <w:t>22</w:t>
            </w:r>
            <w:r w:rsidR="00942D91">
              <w:rPr>
                <w:noProof/>
                <w:webHidden/>
              </w:rPr>
              <w:fldChar w:fldCharType="end"/>
            </w:r>
          </w:hyperlink>
        </w:p>
        <w:p w14:paraId="79759438" w14:textId="31502E9E"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1" w:history="1">
            <w:r w:rsidR="00942D91" w:rsidRPr="00BA0C36">
              <w:rPr>
                <w:rStyle w:val="Hyperlink"/>
                <w:noProof/>
              </w:rPr>
              <w:t>Figure 3: Proposed process for method prioritisation</w:t>
            </w:r>
            <w:r w:rsidR="00942D91">
              <w:rPr>
                <w:noProof/>
                <w:webHidden/>
              </w:rPr>
              <w:tab/>
            </w:r>
            <w:r w:rsidR="00942D91">
              <w:rPr>
                <w:noProof/>
                <w:webHidden/>
              </w:rPr>
              <w:fldChar w:fldCharType="begin"/>
            </w:r>
            <w:r w:rsidR="00942D91">
              <w:rPr>
                <w:noProof/>
                <w:webHidden/>
              </w:rPr>
              <w:instrText xml:space="preserve"> PAGEREF _Toc500516171 \h </w:instrText>
            </w:r>
            <w:r w:rsidR="00942D91">
              <w:rPr>
                <w:noProof/>
                <w:webHidden/>
              </w:rPr>
            </w:r>
            <w:r w:rsidR="00942D91">
              <w:rPr>
                <w:noProof/>
                <w:webHidden/>
              </w:rPr>
              <w:fldChar w:fldCharType="separate"/>
            </w:r>
            <w:r>
              <w:rPr>
                <w:noProof/>
                <w:webHidden/>
              </w:rPr>
              <w:t>29</w:t>
            </w:r>
            <w:r w:rsidR="00942D91">
              <w:rPr>
                <w:noProof/>
                <w:webHidden/>
              </w:rPr>
              <w:fldChar w:fldCharType="end"/>
            </w:r>
          </w:hyperlink>
        </w:p>
        <w:p w14:paraId="2EC41764" w14:textId="6C1923C2"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2" w:history="1">
            <w:r w:rsidR="00942D91" w:rsidRPr="00BA0C36">
              <w:rPr>
                <w:rStyle w:val="Hyperlink"/>
                <w:noProof/>
              </w:rPr>
              <w:t>Figure 4: Rate of clearing for NSW by region</w:t>
            </w:r>
            <w:r w:rsidR="00942D91">
              <w:rPr>
                <w:noProof/>
                <w:webHidden/>
              </w:rPr>
              <w:tab/>
            </w:r>
            <w:r w:rsidR="00942D91">
              <w:rPr>
                <w:noProof/>
                <w:webHidden/>
              </w:rPr>
              <w:fldChar w:fldCharType="begin"/>
            </w:r>
            <w:r w:rsidR="00942D91">
              <w:rPr>
                <w:noProof/>
                <w:webHidden/>
              </w:rPr>
              <w:instrText xml:space="preserve"> PAGEREF _Toc500516172 \h </w:instrText>
            </w:r>
            <w:r w:rsidR="00942D91">
              <w:rPr>
                <w:noProof/>
                <w:webHidden/>
              </w:rPr>
            </w:r>
            <w:r w:rsidR="00942D91">
              <w:rPr>
                <w:noProof/>
                <w:webHidden/>
              </w:rPr>
              <w:fldChar w:fldCharType="separate"/>
            </w:r>
            <w:r>
              <w:rPr>
                <w:noProof/>
                <w:webHidden/>
              </w:rPr>
              <w:t>37</w:t>
            </w:r>
            <w:r w:rsidR="00942D91">
              <w:rPr>
                <w:noProof/>
                <w:webHidden/>
              </w:rPr>
              <w:fldChar w:fldCharType="end"/>
            </w:r>
          </w:hyperlink>
        </w:p>
        <w:p w14:paraId="33C2124C" w14:textId="1B7DCACE"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3" w:history="1">
            <w:r w:rsidR="00942D91" w:rsidRPr="00BA0C36">
              <w:rPr>
                <w:rStyle w:val="Hyperlink"/>
                <w:noProof/>
              </w:rPr>
              <w:t>Figure 5: Difference between the method baseline for projects transitioning from GGAS and state requirements to capture emissions: example of a high emitting landfill in Victoria</w:t>
            </w:r>
            <w:r w:rsidR="00942D91">
              <w:rPr>
                <w:noProof/>
                <w:webHidden/>
              </w:rPr>
              <w:tab/>
            </w:r>
            <w:r w:rsidR="00942D91">
              <w:rPr>
                <w:noProof/>
                <w:webHidden/>
              </w:rPr>
              <w:fldChar w:fldCharType="begin"/>
            </w:r>
            <w:r w:rsidR="00942D91">
              <w:rPr>
                <w:noProof/>
                <w:webHidden/>
              </w:rPr>
              <w:instrText xml:space="preserve"> PAGEREF _Toc500516173 \h </w:instrText>
            </w:r>
            <w:r w:rsidR="00942D91">
              <w:rPr>
                <w:noProof/>
                <w:webHidden/>
              </w:rPr>
            </w:r>
            <w:r w:rsidR="00942D91">
              <w:rPr>
                <w:noProof/>
                <w:webHidden/>
              </w:rPr>
              <w:fldChar w:fldCharType="separate"/>
            </w:r>
            <w:r>
              <w:rPr>
                <w:noProof/>
                <w:webHidden/>
              </w:rPr>
              <w:t>39</w:t>
            </w:r>
            <w:r w:rsidR="00942D91">
              <w:rPr>
                <w:noProof/>
                <w:webHidden/>
              </w:rPr>
              <w:fldChar w:fldCharType="end"/>
            </w:r>
          </w:hyperlink>
        </w:p>
        <w:p w14:paraId="3744C593" w14:textId="43DA0818"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4" w:history="1">
            <w:r w:rsidR="00942D91" w:rsidRPr="00BA0C36">
              <w:rPr>
                <w:rStyle w:val="Hyperlink"/>
                <w:noProof/>
              </w:rPr>
              <w:t>Figure 6: Number of projects registered by month of registration before and after the commencement of the ERF</w:t>
            </w:r>
            <w:r w:rsidR="00942D91">
              <w:rPr>
                <w:noProof/>
                <w:webHidden/>
              </w:rPr>
              <w:tab/>
            </w:r>
            <w:r w:rsidR="00942D91">
              <w:rPr>
                <w:noProof/>
                <w:webHidden/>
              </w:rPr>
              <w:fldChar w:fldCharType="begin"/>
            </w:r>
            <w:r w:rsidR="00942D91">
              <w:rPr>
                <w:noProof/>
                <w:webHidden/>
              </w:rPr>
              <w:instrText xml:space="preserve"> PAGEREF _Toc500516174 \h </w:instrText>
            </w:r>
            <w:r w:rsidR="00942D91">
              <w:rPr>
                <w:noProof/>
                <w:webHidden/>
              </w:rPr>
            </w:r>
            <w:r w:rsidR="00942D91">
              <w:rPr>
                <w:noProof/>
                <w:webHidden/>
              </w:rPr>
              <w:fldChar w:fldCharType="separate"/>
            </w:r>
            <w:r>
              <w:rPr>
                <w:noProof/>
                <w:webHidden/>
              </w:rPr>
              <w:t>40</w:t>
            </w:r>
            <w:r w:rsidR="00942D91">
              <w:rPr>
                <w:noProof/>
                <w:webHidden/>
              </w:rPr>
              <w:fldChar w:fldCharType="end"/>
            </w:r>
          </w:hyperlink>
        </w:p>
        <w:p w14:paraId="645C7BAE" w14:textId="1E755098"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5" w:history="1">
            <w:r w:rsidR="00942D91" w:rsidRPr="00BA0C36">
              <w:rPr>
                <w:rStyle w:val="Hyperlink"/>
                <w:noProof/>
              </w:rPr>
              <w:t>Figure 7: Enforcing compliance with the permanence obligation</w:t>
            </w:r>
            <w:r w:rsidR="00942D91">
              <w:rPr>
                <w:noProof/>
                <w:webHidden/>
              </w:rPr>
              <w:tab/>
            </w:r>
            <w:r w:rsidR="00942D91">
              <w:rPr>
                <w:noProof/>
                <w:webHidden/>
              </w:rPr>
              <w:fldChar w:fldCharType="begin"/>
            </w:r>
            <w:r w:rsidR="00942D91">
              <w:rPr>
                <w:noProof/>
                <w:webHidden/>
              </w:rPr>
              <w:instrText xml:space="preserve"> PAGEREF _Toc500516175 \h </w:instrText>
            </w:r>
            <w:r w:rsidR="00942D91">
              <w:rPr>
                <w:noProof/>
                <w:webHidden/>
              </w:rPr>
            </w:r>
            <w:r w:rsidR="00942D91">
              <w:rPr>
                <w:noProof/>
                <w:webHidden/>
              </w:rPr>
              <w:fldChar w:fldCharType="separate"/>
            </w:r>
            <w:r>
              <w:rPr>
                <w:noProof/>
                <w:webHidden/>
              </w:rPr>
              <w:t>46</w:t>
            </w:r>
            <w:r w:rsidR="00942D91">
              <w:rPr>
                <w:noProof/>
                <w:webHidden/>
              </w:rPr>
              <w:fldChar w:fldCharType="end"/>
            </w:r>
          </w:hyperlink>
        </w:p>
        <w:p w14:paraId="4B01B5E6" w14:textId="15A1A2D3"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6" w:history="1">
            <w:r w:rsidR="00942D91" w:rsidRPr="00BA0C36">
              <w:rPr>
                <w:rStyle w:val="Hyperlink"/>
                <w:noProof/>
              </w:rPr>
              <w:t>Figure 8: Cumulative ACCUs issued per quarter</w:t>
            </w:r>
            <w:r w:rsidR="00942D91">
              <w:rPr>
                <w:noProof/>
                <w:webHidden/>
              </w:rPr>
              <w:tab/>
            </w:r>
            <w:r w:rsidR="00942D91">
              <w:rPr>
                <w:noProof/>
                <w:webHidden/>
              </w:rPr>
              <w:fldChar w:fldCharType="begin"/>
            </w:r>
            <w:r w:rsidR="00942D91">
              <w:rPr>
                <w:noProof/>
                <w:webHidden/>
              </w:rPr>
              <w:instrText xml:space="preserve"> PAGEREF _Toc500516176 \h </w:instrText>
            </w:r>
            <w:r w:rsidR="00942D91">
              <w:rPr>
                <w:noProof/>
                <w:webHidden/>
              </w:rPr>
            </w:r>
            <w:r w:rsidR="00942D91">
              <w:rPr>
                <w:noProof/>
                <w:webHidden/>
              </w:rPr>
              <w:fldChar w:fldCharType="separate"/>
            </w:r>
            <w:r>
              <w:rPr>
                <w:noProof/>
                <w:webHidden/>
              </w:rPr>
              <w:t>78</w:t>
            </w:r>
            <w:r w:rsidR="00942D91">
              <w:rPr>
                <w:noProof/>
                <w:webHidden/>
              </w:rPr>
              <w:fldChar w:fldCharType="end"/>
            </w:r>
          </w:hyperlink>
        </w:p>
        <w:p w14:paraId="1BAC23C8" w14:textId="74F036B1"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77" w:history="1">
            <w:r w:rsidR="00942D91" w:rsidRPr="00BA0C36">
              <w:rPr>
                <w:rStyle w:val="Hyperlink"/>
                <w:noProof/>
              </w:rPr>
              <w:t>Figure 9: Number of projects registered under the ERF</w:t>
            </w:r>
            <w:r w:rsidR="00942D91">
              <w:rPr>
                <w:noProof/>
                <w:webHidden/>
              </w:rPr>
              <w:tab/>
            </w:r>
            <w:r w:rsidR="00942D91">
              <w:rPr>
                <w:noProof/>
                <w:webHidden/>
              </w:rPr>
              <w:fldChar w:fldCharType="begin"/>
            </w:r>
            <w:r w:rsidR="00942D91">
              <w:rPr>
                <w:noProof/>
                <w:webHidden/>
              </w:rPr>
              <w:instrText xml:space="preserve"> PAGEREF _Toc500516177 \h </w:instrText>
            </w:r>
            <w:r w:rsidR="00942D91">
              <w:rPr>
                <w:noProof/>
                <w:webHidden/>
              </w:rPr>
            </w:r>
            <w:r w:rsidR="00942D91">
              <w:rPr>
                <w:noProof/>
                <w:webHidden/>
              </w:rPr>
              <w:fldChar w:fldCharType="separate"/>
            </w:r>
            <w:r>
              <w:rPr>
                <w:noProof/>
                <w:webHidden/>
              </w:rPr>
              <w:t>79</w:t>
            </w:r>
            <w:r w:rsidR="00942D91">
              <w:rPr>
                <w:noProof/>
                <w:webHidden/>
              </w:rPr>
              <w:fldChar w:fldCharType="end"/>
            </w:r>
          </w:hyperlink>
        </w:p>
        <w:p w14:paraId="23B7C757" w14:textId="77777777" w:rsidR="006342AA" w:rsidRPr="005206CA" w:rsidRDefault="006342AA" w:rsidP="00542905">
          <w:pPr>
            <w:spacing w:before="360"/>
            <w:rPr>
              <w:b/>
            </w:rPr>
          </w:pPr>
          <w:r w:rsidRPr="005206CA">
            <w:fldChar w:fldCharType="end"/>
          </w:r>
          <w:r w:rsidRPr="005206CA">
            <w:rPr>
              <w:rFonts w:cs="Arial"/>
              <w:b/>
              <w:color w:val="309CC8"/>
            </w:rPr>
            <w:t>Tables</w:t>
          </w:r>
        </w:p>
        <w:p w14:paraId="552D6776" w14:textId="22526024" w:rsidR="00942D91" w:rsidRDefault="006342AA">
          <w:pPr>
            <w:pStyle w:val="TableofFigures"/>
            <w:tabs>
              <w:tab w:val="right" w:leader="dot" w:pos="9202"/>
            </w:tabs>
            <w:rPr>
              <w:rFonts w:asciiTheme="minorHAnsi" w:eastAsiaTheme="minorEastAsia" w:hAnsiTheme="minorHAnsi" w:cstheme="minorBidi"/>
              <w:noProof/>
              <w:sz w:val="22"/>
              <w:lang w:eastAsia="en-AU"/>
            </w:rPr>
          </w:pPr>
          <w:r w:rsidRPr="005206CA">
            <w:fldChar w:fldCharType="begin"/>
          </w:r>
          <w:r w:rsidRPr="005206CA">
            <w:instrText xml:space="preserve"> TOC \h \z \c "Table" </w:instrText>
          </w:r>
          <w:r w:rsidRPr="005206CA">
            <w:fldChar w:fldCharType="separate"/>
          </w:r>
          <w:hyperlink w:anchor="_Toc500516157" w:history="1">
            <w:r w:rsidR="00942D91" w:rsidRPr="00D5367D">
              <w:rPr>
                <w:rStyle w:val="Hyperlink"/>
                <w:noProof/>
              </w:rPr>
              <w:t>Table 1: ERF auction results</w:t>
            </w:r>
            <w:r w:rsidR="00942D91">
              <w:rPr>
                <w:noProof/>
                <w:webHidden/>
              </w:rPr>
              <w:tab/>
            </w:r>
            <w:r w:rsidR="00942D91">
              <w:rPr>
                <w:noProof/>
                <w:webHidden/>
              </w:rPr>
              <w:fldChar w:fldCharType="begin"/>
            </w:r>
            <w:r w:rsidR="00942D91">
              <w:rPr>
                <w:noProof/>
                <w:webHidden/>
              </w:rPr>
              <w:instrText xml:space="preserve"> PAGEREF _Toc500516157 \h </w:instrText>
            </w:r>
            <w:r w:rsidR="00942D91">
              <w:rPr>
                <w:noProof/>
                <w:webHidden/>
              </w:rPr>
            </w:r>
            <w:r w:rsidR="00942D91">
              <w:rPr>
                <w:noProof/>
                <w:webHidden/>
              </w:rPr>
              <w:fldChar w:fldCharType="separate"/>
            </w:r>
            <w:r w:rsidR="00FA2002">
              <w:rPr>
                <w:noProof/>
                <w:webHidden/>
              </w:rPr>
              <w:t>19</w:t>
            </w:r>
            <w:r w:rsidR="00942D91">
              <w:rPr>
                <w:noProof/>
                <w:webHidden/>
              </w:rPr>
              <w:fldChar w:fldCharType="end"/>
            </w:r>
          </w:hyperlink>
        </w:p>
        <w:p w14:paraId="49E70371" w14:textId="4D3EFD33"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8" w:history="1">
            <w:r w:rsidR="00942D91" w:rsidRPr="00D5367D">
              <w:rPr>
                <w:rStyle w:val="Hyperlink"/>
                <w:noProof/>
              </w:rPr>
              <w:t>Table 2: Number of ERF methods and registered projects</w:t>
            </w:r>
            <w:r w:rsidR="00942D91">
              <w:rPr>
                <w:noProof/>
                <w:webHidden/>
              </w:rPr>
              <w:tab/>
            </w:r>
            <w:r w:rsidR="00942D91">
              <w:rPr>
                <w:noProof/>
                <w:webHidden/>
              </w:rPr>
              <w:fldChar w:fldCharType="begin"/>
            </w:r>
            <w:r w:rsidR="00942D91">
              <w:rPr>
                <w:noProof/>
                <w:webHidden/>
              </w:rPr>
              <w:instrText xml:space="preserve"> PAGEREF _Toc500516158 \h </w:instrText>
            </w:r>
            <w:r w:rsidR="00942D91">
              <w:rPr>
                <w:noProof/>
                <w:webHidden/>
              </w:rPr>
            </w:r>
            <w:r w:rsidR="00942D91">
              <w:rPr>
                <w:noProof/>
                <w:webHidden/>
              </w:rPr>
              <w:fldChar w:fldCharType="separate"/>
            </w:r>
            <w:r>
              <w:rPr>
                <w:noProof/>
                <w:webHidden/>
              </w:rPr>
              <w:t>21</w:t>
            </w:r>
            <w:r w:rsidR="00942D91">
              <w:rPr>
                <w:noProof/>
                <w:webHidden/>
              </w:rPr>
              <w:fldChar w:fldCharType="end"/>
            </w:r>
          </w:hyperlink>
        </w:p>
        <w:p w14:paraId="3E7BDD45" w14:textId="0484693E"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9" w:history="1">
            <w:r w:rsidR="00942D91" w:rsidRPr="00D5367D">
              <w:rPr>
                <w:rStyle w:val="Hyperlink"/>
                <w:noProof/>
              </w:rPr>
              <w:t>Table 3: Key ERF vegetation methods</w:t>
            </w:r>
            <w:r w:rsidR="00942D91">
              <w:rPr>
                <w:noProof/>
                <w:webHidden/>
              </w:rPr>
              <w:tab/>
            </w:r>
            <w:r w:rsidR="00942D91">
              <w:rPr>
                <w:noProof/>
                <w:webHidden/>
              </w:rPr>
              <w:fldChar w:fldCharType="begin"/>
            </w:r>
            <w:r w:rsidR="00942D91">
              <w:rPr>
                <w:noProof/>
                <w:webHidden/>
              </w:rPr>
              <w:instrText xml:space="preserve"> PAGEREF _Toc500516159 \h </w:instrText>
            </w:r>
            <w:r w:rsidR="00942D91">
              <w:rPr>
                <w:noProof/>
                <w:webHidden/>
              </w:rPr>
            </w:r>
            <w:r w:rsidR="00942D91">
              <w:rPr>
                <w:noProof/>
                <w:webHidden/>
              </w:rPr>
              <w:fldChar w:fldCharType="separate"/>
            </w:r>
            <w:r>
              <w:rPr>
                <w:noProof/>
                <w:webHidden/>
              </w:rPr>
              <w:t>36</w:t>
            </w:r>
            <w:r w:rsidR="00942D91">
              <w:rPr>
                <w:noProof/>
                <w:webHidden/>
              </w:rPr>
              <w:fldChar w:fldCharType="end"/>
            </w:r>
          </w:hyperlink>
        </w:p>
        <w:p w14:paraId="30E46407" w14:textId="66C62F96"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0" w:history="1">
            <w:r w:rsidR="00942D91" w:rsidRPr="00D5367D">
              <w:rPr>
                <w:rStyle w:val="Hyperlink"/>
                <w:noProof/>
              </w:rPr>
              <w:t>Table 4: Landfill baselines for new or transitioning projects under the ERF</w:t>
            </w:r>
            <w:r w:rsidR="00942D91">
              <w:rPr>
                <w:noProof/>
                <w:webHidden/>
              </w:rPr>
              <w:tab/>
            </w:r>
            <w:r w:rsidR="00942D91">
              <w:rPr>
                <w:noProof/>
                <w:webHidden/>
              </w:rPr>
              <w:fldChar w:fldCharType="begin"/>
            </w:r>
            <w:r w:rsidR="00942D91">
              <w:rPr>
                <w:noProof/>
                <w:webHidden/>
              </w:rPr>
              <w:instrText xml:space="preserve"> PAGEREF _Toc500516160 \h </w:instrText>
            </w:r>
            <w:r w:rsidR="00942D91">
              <w:rPr>
                <w:noProof/>
                <w:webHidden/>
              </w:rPr>
            </w:r>
            <w:r w:rsidR="00942D91">
              <w:rPr>
                <w:noProof/>
                <w:webHidden/>
              </w:rPr>
              <w:fldChar w:fldCharType="separate"/>
            </w:r>
            <w:r>
              <w:rPr>
                <w:noProof/>
                <w:webHidden/>
              </w:rPr>
              <w:t>38</w:t>
            </w:r>
            <w:r w:rsidR="00942D91">
              <w:rPr>
                <w:noProof/>
                <w:webHidden/>
              </w:rPr>
              <w:fldChar w:fldCharType="end"/>
            </w:r>
          </w:hyperlink>
        </w:p>
        <w:p w14:paraId="44DE30B7" w14:textId="1F30FCF0"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1" w:history="1">
            <w:r w:rsidR="00942D91" w:rsidRPr="00D5367D">
              <w:rPr>
                <w:rStyle w:val="Hyperlink"/>
                <w:noProof/>
              </w:rPr>
              <w:t>Table 5</w:t>
            </w:r>
            <w:r w:rsidR="00D27EF6">
              <w:rPr>
                <w:rStyle w:val="Hyperlink"/>
                <w:noProof/>
              </w:rPr>
              <w:t xml:space="preserve"> ACCUs contracted from projects first registered under the ERF (After December 2014)</w:t>
            </w:r>
            <w:r w:rsidR="00942D91">
              <w:rPr>
                <w:noProof/>
                <w:webHidden/>
              </w:rPr>
              <w:tab/>
            </w:r>
            <w:r w:rsidR="00942D91">
              <w:rPr>
                <w:noProof/>
                <w:webHidden/>
              </w:rPr>
              <w:fldChar w:fldCharType="begin"/>
            </w:r>
            <w:r w:rsidR="00942D91">
              <w:rPr>
                <w:noProof/>
                <w:webHidden/>
              </w:rPr>
              <w:instrText xml:space="preserve"> PAGEREF _Toc500516161 \h </w:instrText>
            </w:r>
            <w:r w:rsidR="00942D91">
              <w:rPr>
                <w:noProof/>
                <w:webHidden/>
              </w:rPr>
            </w:r>
            <w:r w:rsidR="00942D91">
              <w:rPr>
                <w:noProof/>
                <w:webHidden/>
              </w:rPr>
              <w:fldChar w:fldCharType="separate"/>
            </w:r>
            <w:r>
              <w:rPr>
                <w:noProof/>
                <w:webHidden/>
              </w:rPr>
              <w:t>41</w:t>
            </w:r>
            <w:r w:rsidR="00942D91">
              <w:rPr>
                <w:noProof/>
                <w:webHidden/>
              </w:rPr>
              <w:fldChar w:fldCharType="end"/>
            </w:r>
          </w:hyperlink>
        </w:p>
        <w:p w14:paraId="1AFFC3F6" w14:textId="4A728581"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2" w:history="1">
            <w:r w:rsidR="00942D91" w:rsidRPr="00D5367D">
              <w:rPr>
                <w:rStyle w:val="Hyperlink"/>
                <w:noProof/>
              </w:rPr>
              <w:t>Table 6: CSP involvement by sector</w:t>
            </w:r>
            <w:r w:rsidR="00942D91">
              <w:rPr>
                <w:noProof/>
                <w:webHidden/>
              </w:rPr>
              <w:tab/>
            </w:r>
            <w:r w:rsidR="00942D91">
              <w:rPr>
                <w:noProof/>
                <w:webHidden/>
              </w:rPr>
              <w:fldChar w:fldCharType="begin"/>
            </w:r>
            <w:r w:rsidR="00942D91">
              <w:rPr>
                <w:noProof/>
                <w:webHidden/>
              </w:rPr>
              <w:instrText xml:space="preserve"> PAGEREF _Toc500516162 \h </w:instrText>
            </w:r>
            <w:r w:rsidR="00942D91">
              <w:rPr>
                <w:noProof/>
                <w:webHidden/>
              </w:rPr>
            </w:r>
            <w:r w:rsidR="00942D91">
              <w:rPr>
                <w:noProof/>
                <w:webHidden/>
              </w:rPr>
              <w:fldChar w:fldCharType="separate"/>
            </w:r>
            <w:r>
              <w:rPr>
                <w:noProof/>
                <w:webHidden/>
              </w:rPr>
              <w:t>51</w:t>
            </w:r>
            <w:r w:rsidR="00942D91">
              <w:rPr>
                <w:noProof/>
                <w:webHidden/>
              </w:rPr>
              <w:fldChar w:fldCharType="end"/>
            </w:r>
          </w:hyperlink>
        </w:p>
        <w:p w14:paraId="610D61EC" w14:textId="26788CAB"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3" w:history="1">
            <w:r w:rsidR="00942D91" w:rsidRPr="00D5367D">
              <w:rPr>
                <w:rStyle w:val="Hyperlink"/>
                <w:noProof/>
              </w:rPr>
              <w:t>Table 7: Number of projects and volume of abatement attributable to CSPs</w:t>
            </w:r>
            <w:r w:rsidR="00942D91">
              <w:rPr>
                <w:noProof/>
                <w:webHidden/>
              </w:rPr>
              <w:tab/>
            </w:r>
            <w:r w:rsidR="00942D91">
              <w:rPr>
                <w:noProof/>
                <w:webHidden/>
              </w:rPr>
              <w:fldChar w:fldCharType="begin"/>
            </w:r>
            <w:r w:rsidR="00942D91">
              <w:rPr>
                <w:noProof/>
                <w:webHidden/>
              </w:rPr>
              <w:instrText xml:space="preserve"> PAGEREF _Toc500516163 \h </w:instrText>
            </w:r>
            <w:r w:rsidR="00942D91">
              <w:rPr>
                <w:noProof/>
                <w:webHidden/>
              </w:rPr>
            </w:r>
            <w:r w:rsidR="00942D91">
              <w:rPr>
                <w:noProof/>
                <w:webHidden/>
              </w:rPr>
              <w:fldChar w:fldCharType="separate"/>
            </w:r>
            <w:r>
              <w:rPr>
                <w:noProof/>
                <w:webHidden/>
              </w:rPr>
              <w:t>52</w:t>
            </w:r>
            <w:r w:rsidR="00942D91">
              <w:rPr>
                <w:noProof/>
                <w:webHidden/>
              </w:rPr>
              <w:fldChar w:fldCharType="end"/>
            </w:r>
          </w:hyperlink>
        </w:p>
        <w:p w14:paraId="5972855B" w14:textId="79B937B0"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4" w:history="1">
            <w:r w:rsidR="00942D91" w:rsidRPr="00D5367D">
              <w:rPr>
                <w:rStyle w:val="Hyperlink"/>
                <w:rFonts w:cs="Arial"/>
                <w:noProof/>
              </w:rPr>
              <w:t>Table 8: ERF contract, crediting and permanence periods - definitions</w:t>
            </w:r>
            <w:r w:rsidR="00942D91">
              <w:rPr>
                <w:noProof/>
                <w:webHidden/>
              </w:rPr>
              <w:tab/>
            </w:r>
            <w:r w:rsidR="00942D91">
              <w:rPr>
                <w:noProof/>
                <w:webHidden/>
              </w:rPr>
              <w:fldChar w:fldCharType="begin"/>
            </w:r>
            <w:r w:rsidR="00942D91">
              <w:rPr>
                <w:noProof/>
                <w:webHidden/>
              </w:rPr>
              <w:instrText xml:space="preserve"> PAGEREF _Toc500516164 \h </w:instrText>
            </w:r>
            <w:r w:rsidR="00942D91">
              <w:rPr>
                <w:noProof/>
                <w:webHidden/>
              </w:rPr>
            </w:r>
            <w:r w:rsidR="00942D91">
              <w:rPr>
                <w:noProof/>
                <w:webHidden/>
              </w:rPr>
              <w:fldChar w:fldCharType="separate"/>
            </w:r>
            <w:r>
              <w:rPr>
                <w:noProof/>
                <w:webHidden/>
              </w:rPr>
              <w:t>63</w:t>
            </w:r>
            <w:r w:rsidR="00942D91">
              <w:rPr>
                <w:noProof/>
                <w:webHidden/>
              </w:rPr>
              <w:fldChar w:fldCharType="end"/>
            </w:r>
          </w:hyperlink>
        </w:p>
        <w:p w14:paraId="1972E01C" w14:textId="519A4449"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5" w:history="1">
            <w:r w:rsidR="00942D91" w:rsidRPr="00D5367D">
              <w:rPr>
                <w:rStyle w:val="Hyperlink"/>
                <w:noProof/>
              </w:rPr>
              <w:t>Table 9: ERF (nominal) costs to the Government over the period 2014-15 to 2017-18</w:t>
            </w:r>
            <w:r w:rsidR="00942D91">
              <w:rPr>
                <w:noProof/>
                <w:webHidden/>
              </w:rPr>
              <w:tab/>
            </w:r>
            <w:r w:rsidR="00942D91">
              <w:rPr>
                <w:noProof/>
                <w:webHidden/>
              </w:rPr>
              <w:fldChar w:fldCharType="begin"/>
            </w:r>
            <w:r w:rsidR="00942D91">
              <w:rPr>
                <w:noProof/>
                <w:webHidden/>
              </w:rPr>
              <w:instrText xml:space="preserve"> PAGEREF _Toc500516165 \h </w:instrText>
            </w:r>
            <w:r w:rsidR="00942D91">
              <w:rPr>
                <w:noProof/>
                <w:webHidden/>
              </w:rPr>
            </w:r>
            <w:r w:rsidR="00942D91">
              <w:rPr>
                <w:noProof/>
                <w:webHidden/>
              </w:rPr>
              <w:fldChar w:fldCharType="separate"/>
            </w:r>
            <w:r>
              <w:rPr>
                <w:noProof/>
                <w:webHidden/>
              </w:rPr>
              <w:t>85</w:t>
            </w:r>
            <w:r w:rsidR="00942D91">
              <w:rPr>
                <w:noProof/>
                <w:webHidden/>
              </w:rPr>
              <w:fldChar w:fldCharType="end"/>
            </w:r>
          </w:hyperlink>
        </w:p>
        <w:p w14:paraId="670C42CC" w14:textId="263A8D59"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6" w:history="1">
            <w:r w:rsidR="00942D91" w:rsidRPr="00D5367D">
              <w:rPr>
                <w:rStyle w:val="Hyperlink"/>
                <w:noProof/>
              </w:rPr>
              <w:t>Table 10: Comparison of the cost of the ERF with other government programs</w:t>
            </w:r>
            <w:r w:rsidR="00942D91">
              <w:rPr>
                <w:noProof/>
                <w:webHidden/>
              </w:rPr>
              <w:tab/>
            </w:r>
            <w:r w:rsidR="00942D91">
              <w:rPr>
                <w:noProof/>
                <w:webHidden/>
              </w:rPr>
              <w:fldChar w:fldCharType="begin"/>
            </w:r>
            <w:r w:rsidR="00942D91">
              <w:rPr>
                <w:noProof/>
                <w:webHidden/>
              </w:rPr>
              <w:instrText xml:space="preserve"> PAGEREF _Toc500516166 \h </w:instrText>
            </w:r>
            <w:r w:rsidR="00942D91">
              <w:rPr>
                <w:noProof/>
                <w:webHidden/>
              </w:rPr>
            </w:r>
            <w:r w:rsidR="00942D91">
              <w:rPr>
                <w:noProof/>
                <w:webHidden/>
              </w:rPr>
              <w:fldChar w:fldCharType="separate"/>
            </w:r>
            <w:r>
              <w:rPr>
                <w:noProof/>
                <w:webHidden/>
              </w:rPr>
              <w:t>86</w:t>
            </w:r>
            <w:r w:rsidR="00942D91">
              <w:rPr>
                <w:noProof/>
                <w:webHidden/>
              </w:rPr>
              <w:fldChar w:fldCharType="end"/>
            </w:r>
          </w:hyperlink>
        </w:p>
        <w:p w14:paraId="5C6B87E4" w14:textId="2F4D473B"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7" w:history="1">
            <w:r w:rsidR="00942D91" w:rsidRPr="00D5367D">
              <w:rPr>
                <w:rStyle w:val="Hyperlink"/>
                <w:noProof/>
              </w:rPr>
              <w:t>Table 11: Analysis of ERF transition guidance</w:t>
            </w:r>
            <w:r w:rsidR="00942D91">
              <w:rPr>
                <w:noProof/>
                <w:webHidden/>
              </w:rPr>
              <w:tab/>
            </w:r>
            <w:r w:rsidR="00942D91">
              <w:rPr>
                <w:noProof/>
                <w:webHidden/>
              </w:rPr>
              <w:fldChar w:fldCharType="begin"/>
            </w:r>
            <w:r w:rsidR="00942D91">
              <w:rPr>
                <w:noProof/>
                <w:webHidden/>
              </w:rPr>
              <w:instrText xml:space="preserve"> PAGEREF _Toc500516167 \h </w:instrText>
            </w:r>
            <w:r w:rsidR="00942D91">
              <w:rPr>
                <w:noProof/>
                <w:webHidden/>
              </w:rPr>
            </w:r>
            <w:r w:rsidR="00942D91">
              <w:rPr>
                <w:noProof/>
                <w:webHidden/>
              </w:rPr>
              <w:fldChar w:fldCharType="separate"/>
            </w:r>
            <w:r>
              <w:rPr>
                <w:noProof/>
                <w:webHidden/>
              </w:rPr>
              <w:t>96</w:t>
            </w:r>
            <w:r w:rsidR="00942D91">
              <w:rPr>
                <w:noProof/>
                <w:webHidden/>
              </w:rPr>
              <w:fldChar w:fldCharType="end"/>
            </w:r>
          </w:hyperlink>
        </w:p>
        <w:p w14:paraId="2449125E" w14:textId="42B2693E"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68" w:history="1">
            <w:r w:rsidR="00942D91" w:rsidRPr="00D5367D">
              <w:rPr>
                <w:rStyle w:val="Hyperlink"/>
                <w:noProof/>
              </w:rPr>
              <w:t>Table 12: Analysing the recommendations’ outcomes</w:t>
            </w:r>
            <w:r w:rsidR="00942D91">
              <w:rPr>
                <w:noProof/>
                <w:webHidden/>
              </w:rPr>
              <w:tab/>
            </w:r>
            <w:r w:rsidR="00942D91">
              <w:rPr>
                <w:noProof/>
                <w:webHidden/>
              </w:rPr>
              <w:fldChar w:fldCharType="begin"/>
            </w:r>
            <w:r w:rsidR="00942D91">
              <w:rPr>
                <w:noProof/>
                <w:webHidden/>
              </w:rPr>
              <w:instrText xml:space="preserve"> PAGEREF _Toc500516168 \h </w:instrText>
            </w:r>
            <w:r w:rsidR="00942D91">
              <w:rPr>
                <w:noProof/>
                <w:webHidden/>
              </w:rPr>
            </w:r>
            <w:r w:rsidR="00942D91">
              <w:rPr>
                <w:noProof/>
                <w:webHidden/>
              </w:rPr>
              <w:fldChar w:fldCharType="separate"/>
            </w:r>
            <w:r>
              <w:rPr>
                <w:noProof/>
                <w:webHidden/>
              </w:rPr>
              <w:t>105</w:t>
            </w:r>
            <w:r w:rsidR="00942D91">
              <w:rPr>
                <w:noProof/>
                <w:webHidden/>
              </w:rPr>
              <w:fldChar w:fldCharType="end"/>
            </w:r>
          </w:hyperlink>
        </w:p>
        <w:p w14:paraId="09B197E3" w14:textId="77777777" w:rsidR="006342AA" w:rsidRPr="005206CA" w:rsidRDefault="006342AA" w:rsidP="00542905">
          <w:pPr>
            <w:spacing w:before="360"/>
            <w:rPr>
              <w:b/>
            </w:rPr>
          </w:pPr>
          <w:r w:rsidRPr="005206CA">
            <w:fldChar w:fldCharType="end"/>
          </w:r>
          <w:r w:rsidRPr="005206CA">
            <w:rPr>
              <w:rFonts w:cs="Arial"/>
              <w:b/>
              <w:color w:val="309CC8"/>
            </w:rPr>
            <w:t>Boxes</w:t>
          </w:r>
        </w:p>
        <w:p w14:paraId="27C89DA8" w14:textId="3FF6CA92" w:rsidR="00942D91" w:rsidRDefault="006342AA">
          <w:pPr>
            <w:pStyle w:val="TableofFigures"/>
            <w:tabs>
              <w:tab w:val="right" w:leader="dot" w:pos="9202"/>
            </w:tabs>
            <w:rPr>
              <w:rFonts w:asciiTheme="minorHAnsi" w:eastAsiaTheme="minorEastAsia" w:hAnsiTheme="minorHAnsi" w:cstheme="minorBidi"/>
              <w:noProof/>
              <w:sz w:val="22"/>
              <w:lang w:eastAsia="en-AU"/>
            </w:rPr>
          </w:pPr>
          <w:r w:rsidRPr="005206CA">
            <w:fldChar w:fldCharType="begin"/>
          </w:r>
          <w:r w:rsidRPr="005206CA">
            <w:instrText xml:space="preserve"> TOC \h \z \c "Box" </w:instrText>
          </w:r>
          <w:r w:rsidRPr="005206CA">
            <w:fldChar w:fldCharType="separate"/>
          </w:r>
          <w:hyperlink w:anchor="_Toc500516152" w:history="1">
            <w:r w:rsidR="00942D91" w:rsidRPr="00C132BE">
              <w:rPr>
                <w:rStyle w:val="Hyperlink"/>
                <w:noProof/>
              </w:rPr>
              <w:t>Box 1: Defining business as usual</w:t>
            </w:r>
            <w:r w:rsidR="00942D91">
              <w:rPr>
                <w:noProof/>
                <w:webHidden/>
              </w:rPr>
              <w:tab/>
            </w:r>
            <w:r w:rsidR="00942D91">
              <w:rPr>
                <w:noProof/>
                <w:webHidden/>
              </w:rPr>
              <w:fldChar w:fldCharType="begin"/>
            </w:r>
            <w:r w:rsidR="00942D91">
              <w:rPr>
                <w:noProof/>
                <w:webHidden/>
              </w:rPr>
              <w:instrText xml:space="preserve"> PAGEREF _Toc500516152 \h </w:instrText>
            </w:r>
            <w:r w:rsidR="00942D91">
              <w:rPr>
                <w:noProof/>
                <w:webHidden/>
              </w:rPr>
            </w:r>
            <w:r w:rsidR="00942D91">
              <w:rPr>
                <w:noProof/>
                <w:webHidden/>
              </w:rPr>
              <w:fldChar w:fldCharType="separate"/>
            </w:r>
            <w:r w:rsidR="00FA2002">
              <w:rPr>
                <w:noProof/>
                <w:webHidden/>
              </w:rPr>
              <w:t>33</w:t>
            </w:r>
            <w:r w:rsidR="00942D91">
              <w:rPr>
                <w:noProof/>
                <w:webHidden/>
              </w:rPr>
              <w:fldChar w:fldCharType="end"/>
            </w:r>
          </w:hyperlink>
        </w:p>
        <w:p w14:paraId="5654F1C0" w14:textId="79C619CE"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3" w:history="1">
            <w:r w:rsidR="00942D91" w:rsidRPr="00C132BE">
              <w:rPr>
                <w:rStyle w:val="Hyperlink"/>
                <w:noProof/>
              </w:rPr>
              <w:t>Box 2: Permanence and the plantation forestry method</w:t>
            </w:r>
            <w:r w:rsidR="00942D91">
              <w:rPr>
                <w:noProof/>
                <w:webHidden/>
              </w:rPr>
              <w:tab/>
            </w:r>
            <w:r w:rsidR="00942D91">
              <w:rPr>
                <w:noProof/>
                <w:webHidden/>
              </w:rPr>
              <w:fldChar w:fldCharType="begin"/>
            </w:r>
            <w:r w:rsidR="00942D91">
              <w:rPr>
                <w:noProof/>
                <w:webHidden/>
              </w:rPr>
              <w:instrText xml:space="preserve"> PAGEREF _Toc500516153 \h </w:instrText>
            </w:r>
            <w:r w:rsidR="00942D91">
              <w:rPr>
                <w:noProof/>
                <w:webHidden/>
              </w:rPr>
            </w:r>
            <w:r w:rsidR="00942D91">
              <w:rPr>
                <w:noProof/>
                <w:webHidden/>
              </w:rPr>
              <w:fldChar w:fldCharType="separate"/>
            </w:r>
            <w:r>
              <w:rPr>
                <w:noProof/>
                <w:webHidden/>
              </w:rPr>
              <w:t>49</w:t>
            </w:r>
            <w:r w:rsidR="00942D91">
              <w:rPr>
                <w:noProof/>
                <w:webHidden/>
              </w:rPr>
              <w:fldChar w:fldCharType="end"/>
            </w:r>
          </w:hyperlink>
        </w:p>
        <w:p w14:paraId="13CB23AD" w14:textId="3FD8DAB6"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4" w:history="1">
            <w:r w:rsidR="00942D91" w:rsidRPr="00C132BE">
              <w:rPr>
                <w:rStyle w:val="Hyperlink"/>
                <w:rFonts w:cs="Arial"/>
                <w:noProof/>
              </w:rPr>
              <w:t>Box 3: Savanna burning methods</w:t>
            </w:r>
            <w:r w:rsidR="00942D91">
              <w:rPr>
                <w:noProof/>
                <w:webHidden/>
              </w:rPr>
              <w:tab/>
            </w:r>
            <w:r w:rsidR="00942D91">
              <w:rPr>
                <w:noProof/>
                <w:webHidden/>
              </w:rPr>
              <w:fldChar w:fldCharType="begin"/>
            </w:r>
            <w:r w:rsidR="00942D91">
              <w:rPr>
                <w:noProof/>
                <w:webHidden/>
              </w:rPr>
              <w:instrText xml:space="preserve"> PAGEREF _Toc500516154 \h </w:instrText>
            </w:r>
            <w:r w:rsidR="00942D91">
              <w:rPr>
                <w:noProof/>
                <w:webHidden/>
              </w:rPr>
            </w:r>
            <w:r w:rsidR="00942D91">
              <w:rPr>
                <w:noProof/>
                <w:webHidden/>
              </w:rPr>
              <w:fldChar w:fldCharType="separate"/>
            </w:r>
            <w:r>
              <w:rPr>
                <w:noProof/>
                <w:webHidden/>
              </w:rPr>
              <w:t>57</w:t>
            </w:r>
            <w:r w:rsidR="00942D91">
              <w:rPr>
                <w:noProof/>
                <w:webHidden/>
              </w:rPr>
              <w:fldChar w:fldCharType="end"/>
            </w:r>
          </w:hyperlink>
        </w:p>
        <w:p w14:paraId="73245DEA" w14:textId="7D4B6117"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5" w:history="1">
            <w:r w:rsidR="00942D91" w:rsidRPr="00C132BE">
              <w:rPr>
                <w:rStyle w:val="Hyperlink"/>
                <w:rFonts w:cs="Arial"/>
                <w:noProof/>
              </w:rPr>
              <w:t>Box 4: Worked example of market damages cap</w:t>
            </w:r>
            <w:r w:rsidR="00942D91">
              <w:rPr>
                <w:noProof/>
                <w:webHidden/>
              </w:rPr>
              <w:tab/>
            </w:r>
            <w:r w:rsidR="00942D91">
              <w:rPr>
                <w:noProof/>
                <w:webHidden/>
              </w:rPr>
              <w:fldChar w:fldCharType="begin"/>
            </w:r>
            <w:r w:rsidR="00942D91">
              <w:rPr>
                <w:noProof/>
                <w:webHidden/>
              </w:rPr>
              <w:instrText xml:space="preserve"> PAGEREF _Toc500516155 \h </w:instrText>
            </w:r>
            <w:r w:rsidR="00942D91">
              <w:rPr>
                <w:noProof/>
                <w:webHidden/>
              </w:rPr>
            </w:r>
            <w:r w:rsidR="00942D91">
              <w:rPr>
                <w:noProof/>
                <w:webHidden/>
              </w:rPr>
              <w:fldChar w:fldCharType="separate"/>
            </w:r>
            <w:r>
              <w:rPr>
                <w:noProof/>
                <w:webHidden/>
              </w:rPr>
              <w:t>74</w:t>
            </w:r>
            <w:r w:rsidR="00942D91">
              <w:rPr>
                <w:noProof/>
                <w:webHidden/>
              </w:rPr>
              <w:fldChar w:fldCharType="end"/>
            </w:r>
          </w:hyperlink>
        </w:p>
        <w:p w14:paraId="5533D171" w14:textId="4FD89B8D" w:rsidR="00942D91" w:rsidRDefault="00FA2002">
          <w:pPr>
            <w:pStyle w:val="TableofFigures"/>
            <w:tabs>
              <w:tab w:val="right" w:leader="dot" w:pos="9202"/>
            </w:tabs>
            <w:rPr>
              <w:rFonts w:asciiTheme="minorHAnsi" w:eastAsiaTheme="minorEastAsia" w:hAnsiTheme="minorHAnsi" w:cstheme="minorBidi"/>
              <w:noProof/>
              <w:sz w:val="22"/>
              <w:lang w:eastAsia="en-AU"/>
            </w:rPr>
          </w:pPr>
          <w:hyperlink w:anchor="_Toc500516156" w:history="1">
            <w:r w:rsidR="00942D91" w:rsidRPr="00C132BE">
              <w:rPr>
                <w:rStyle w:val="Hyperlink"/>
                <w:rFonts w:cs="Arial"/>
                <w:noProof/>
              </w:rPr>
              <w:t>Box 5: Operation of the carbon market compared to LGC market</w:t>
            </w:r>
            <w:r w:rsidR="00942D91">
              <w:rPr>
                <w:noProof/>
                <w:webHidden/>
              </w:rPr>
              <w:tab/>
            </w:r>
            <w:r w:rsidR="00942D91">
              <w:rPr>
                <w:noProof/>
                <w:webHidden/>
              </w:rPr>
              <w:fldChar w:fldCharType="begin"/>
            </w:r>
            <w:r w:rsidR="00942D91">
              <w:rPr>
                <w:noProof/>
                <w:webHidden/>
              </w:rPr>
              <w:instrText xml:space="preserve"> PAGEREF _Toc500516156 \h </w:instrText>
            </w:r>
            <w:r w:rsidR="00942D91">
              <w:rPr>
                <w:noProof/>
                <w:webHidden/>
              </w:rPr>
            </w:r>
            <w:r w:rsidR="00942D91">
              <w:rPr>
                <w:noProof/>
                <w:webHidden/>
              </w:rPr>
              <w:fldChar w:fldCharType="separate"/>
            </w:r>
            <w:r>
              <w:rPr>
                <w:noProof/>
                <w:webHidden/>
              </w:rPr>
              <w:t>80</w:t>
            </w:r>
            <w:r w:rsidR="00942D91">
              <w:rPr>
                <w:noProof/>
                <w:webHidden/>
              </w:rPr>
              <w:fldChar w:fldCharType="end"/>
            </w:r>
          </w:hyperlink>
        </w:p>
        <w:p w14:paraId="0BE9896F" w14:textId="77777777" w:rsidR="00A00970" w:rsidRPr="005206CA" w:rsidRDefault="006342AA" w:rsidP="006342AA">
          <w:r w:rsidRPr="005206CA">
            <w:fldChar w:fldCharType="end"/>
          </w:r>
        </w:p>
        <w:p w14:paraId="194A3088" w14:textId="77777777" w:rsidR="00A00970" w:rsidRPr="005206CA" w:rsidRDefault="00A00970">
          <w:pPr>
            <w:spacing w:after="0" w:line="240" w:lineRule="auto"/>
          </w:pPr>
          <w:r w:rsidRPr="005206CA">
            <w:br w:type="page"/>
          </w:r>
        </w:p>
        <w:p w14:paraId="7637135D" w14:textId="77777777" w:rsidR="00D51356" w:rsidRPr="005206CA" w:rsidRDefault="00517703" w:rsidP="00D51356">
          <w:pPr>
            <w:pStyle w:val="Heading1nonumber"/>
          </w:pPr>
          <w:bookmarkStart w:id="21" w:name="_Toc500251062"/>
          <w:bookmarkStart w:id="22" w:name="_Toc500251337"/>
          <w:bookmarkStart w:id="23" w:name="_Toc500253934"/>
          <w:bookmarkStart w:id="24" w:name="_Toc500401441"/>
          <w:bookmarkStart w:id="25" w:name="_Toc500490926"/>
          <w:bookmarkStart w:id="26" w:name="_Toc500512868"/>
          <w:bookmarkStart w:id="27" w:name="_Toc500514123"/>
          <w:bookmarkStart w:id="28" w:name="_Toc500516180"/>
          <w:bookmarkStart w:id="29" w:name="_Toc498691511"/>
          <w:bookmarkStart w:id="30" w:name="_Toc499043692"/>
          <w:bookmarkStart w:id="31" w:name="_Toc499051713"/>
          <w:r w:rsidRPr="005206CA">
            <w:t>C</w:t>
          </w:r>
          <w:r w:rsidR="00204819" w:rsidRPr="005206CA">
            <w:t xml:space="preserve">hair’s </w:t>
          </w:r>
          <w:r w:rsidR="00D51356" w:rsidRPr="005206CA">
            <w:t>foreword</w:t>
          </w:r>
          <w:bookmarkEnd w:id="21"/>
          <w:bookmarkEnd w:id="22"/>
          <w:bookmarkEnd w:id="23"/>
          <w:bookmarkEnd w:id="24"/>
          <w:bookmarkEnd w:id="25"/>
          <w:bookmarkEnd w:id="26"/>
          <w:bookmarkEnd w:id="27"/>
          <w:bookmarkEnd w:id="28"/>
        </w:p>
        <w:p w14:paraId="5FCEFB62" w14:textId="77777777" w:rsidR="00F56FD2" w:rsidRPr="005206CA" w:rsidRDefault="00F56FD2" w:rsidP="001E4A34"/>
        <w:p w14:paraId="0CD70BCE" w14:textId="77777777" w:rsidR="001E4A34" w:rsidRPr="005206CA" w:rsidRDefault="001E4A34" w:rsidP="001E4A34">
          <w:r w:rsidRPr="005206CA">
            <w:t>The Climate Change Authority is pleased to release this report on its review of the Emissions Reduction Fund (ERF). Legislation to establish the ERF was passed in 2014 so it is timely to take stock and reflect on how it is performing.</w:t>
          </w:r>
        </w:p>
        <w:p w14:paraId="30EC8B52" w14:textId="51DFD8E5" w:rsidR="001E4A34" w:rsidRPr="005206CA" w:rsidRDefault="001E4A34" w:rsidP="001E4A34">
          <w:r w:rsidRPr="005206CA">
            <w:t>The Authority found that the ERF is generally performing well. It has created incentives for new domestic abatement at low cost that will contribute to Australia meeting its international emissions reduction commitments. Effective architecture has been put in place to credit abatement across the economy, enable Government purchasing and ensure compliance with the scheme.</w:t>
          </w:r>
        </w:p>
        <w:p w14:paraId="7DA98614" w14:textId="77777777" w:rsidR="001E4A34" w:rsidRPr="005206CA" w:rsidRDefault="001E4A34" w:rsidP="001E4A34">
          <w:r w:rsidRPr="005206CA">
            <w:t>This is no small feat: establishing a robust approach to emissions reduction offsets is challenging given the need for sound policy, administrative judgement, technical requirements for emissions reduction estimation and timely stakeholder and client service.</w:t>
          </w:r>
        </w:p>
        <w:p w14:paraId="6B899D6E" w14:textId="6C11E5D6" w:rsidR="001E4A34" w:rsidRPr="005206CA" w:rsidRDefault="001E4A34" w:rsidP="001E4A34">
          <w:r w:rsidRPr="005206CA">
            <w:t>Finding a way through these challenges for the ERF has result</w:t>
          </w:r>
          <w:r w:rsidR="00E26AB7">
            <w:t xml:space="preserve">ed in a fairly complex scheme. </w:t>
          </w:r>
          <w:r w:rsidRPr="005206CA">
            <w:t xml:space="preserve">The Authority found however that some complexity is unavoidable if </w:t>
          </w:r>
          <w:r w:rsidR="009D5426">
            <w:t>the ERF is</w:t>
          </w:r>
          <w:r w:rsidRPr="005206CA">
            <w:t xml:space="preserve"> to deliver genuine abatement. Many of the ERF’s requirements are set in legislation, which is one of its strengths as it provides a degree of certainty to scheme participants and also facilitates robust compliance arrangements.</w:t>
          </w:r>
        </w:p>
        <w:p w14:paraId="19698205" w14:textId="40F97FA9" w:rsidR="001E4A34" w:rsidRPr="005206CA" w:rsidRDefault="001E4A34" w:rsidP="001E4A34">
          <w:r w:rsidRPr="005206CA">
            <w:t xml:space="preserve">The Authority has identified some risks for the ERF and recommended some enhancements to the scheme to reduce the likelihood of them occurring. On the purchasing side, a key risk is that the measure may not deliver as much domestic abatement as anticipated. To address this risk, the Authority has recommended new arrangements to bolster the effectiveness of </w:t>
          </w:r>
          <w:r w:rsidR="009D5426">
            <w:t xml:space="preserve">ERF </w:t>
          </w:r>
          <w:r w:rsidRPr="005206CA">
            <w:t>contracts and enhance the secondary market’s investment signals.</w:t>
          </w:r>
        </w:p>
        <w:p w14:paraId="7FADB36F" w14:textId="39067158" w:rsidR="001E4A34" w:rsidRPr="005206CA" w:rsidRDefault="001E4A34" w:rsidP="001E4A34">
          <w:r w:rsidRPr="005206CA">
            <w:t xml:space="preserve">The potential for the reversal of carbon stored in ERF vegetation and soil projects is also a significant risk. The Authority is of the view that the key to managing potential lack of permanence is twofold and largely already in place. The Authority has recommended some new measures to help scheme participants become more aware of their permanence obligations, and new tools to help the Clean Energy Regulator enforce breaches of the scheme, including for lack of permanence. </w:t>
          </w:r>
        </w:p>
        <w:p w14:paraId="45C99D50" w14:textId="77777777" w:rsidR="001E4A34" w:rsidRPr="005206CA" w:rsidRDefault="001E4A34" w:rsidP="001E4A34">
          <w:r w:rsidRPr="005206CA">
            <w:t xml:space="preserve">On the crediting side, while there is scope for continuous improvement for a small number of individual methods, the Authority has not found evidence that additionality is a widespread problem. The Authority is of the view that the Emissions Reduction Assurance Committee plays a vital role as the gate-keeper of the ERF’s integrity, and the Committee’s method reviews are a key vehicle to ensure that emissions reductions remain additional as the scheme matures. </w:t>
          </w:r>
        </w:p>
        <w:p w14:paraId="62A4E6CB" w14:textId="05AB4280" w:rsidR="001E4A34" w:rsidRPr="005206CA" w:rsidRDefault="001E4A34" w:rsidP="001E4A34">
          <w:r w:rsidRPr="005206CA">
            <w:t xml:space="preserve">Stakeholders have highlighted untapped opportunities </w:t>
          </w:r>
          <w:r w:rsidR="00F23468">
            <w:t>for</w:t>
          </w:r>
          <w:r w:rsidR="00F23468" w:rsidRPr="005206CA">
            <w:t xml:space="preserve"> </w:t>
          </w:r>
          <w:r w:rsidRPr="005206CA">
            <w:t xml:space="preserve">potential abatement on the land. To capture these, the Authority has recommended an enhanced process for method prioritisation and stakeholder engagement as well as new funds for research and development to deliver more domestic abatement. </w:t>
          </w:r>
        </w:p>
        <w:p w14:paraId="6B36E6B1" w14:textId="1622D071" w:rsidR="001E4A34" w:rsidRPr="005206CA" w:rsidRDefault="001E4A34" w:rsidP="001E4A34">
          <w:r w:rsidRPr="005206CA">
            <w:t>The Authority considers that, over time, other policies will need to take over from ERF purchasing to decarbonise Australia’s economy and deliver structural change. Investment by both Government and the private sector in offsets, particularly for the land sector through the Carbon Farming Initiative and now the ERF, should be built on as part of the policy toolkit Australia needs to meet its Paris Agreement emissions reduction goals.</w:t>
          </w:r>
        </w:p>
        <w:p w14:paraId="343CF230" w14:textId="77777777" w:rsidR="001E4A34" w:rsidRPr="005206CA" w:rsidRDefault="00204819" w:rsidP="001E4A34">
          <w:r w:rsidRPr="005206CA">
            <w:rPr>
              <w:noProof/>
              <w:color w:val="1F497D"/>
              <w:lang w:eastAsia="en-AU"/>
            </w:rPr>
            <w:drawing>
              <wp:anchor distT="0" distB="0" distL="114300" distR="114300" simplePos="0" relativeHeight="251658241" behindDoc="1" locked="0" layoutInCell="1" allowOverlap="1" wp14:anchorId="1803E479" wp14:editId="543E1EAA">
                <wp:simplePos x="0" y="0"/>
                <wp:positionH relativeFrom="column">
                  <wp:posOffset>4445</wp:posOffset>
                </wp:positionH>
                <wp:positionV relativeFrom="paragraph">
                  <wp:posOffset>0</wp:posOffset>
                </wp:positionV>
                <wp:extent cx="1118870" cy="539115"/>
                <wp:effectExtent l="0" t="0" r="5080" b="0"/>
                <wp:wrapTight wrapText="bothSides">
                  <wp:wrapPolygon edited="0">
                    <wp:start x="0" y="0"/>
                    <wp:lineTo x="0" y="20608"/>
                    <wp:lineTo x="21330" y="20608"/>
                    <wp:lineTo x="21330" y="0"/>
                    <wp:lineTo x="0" y="0"/>
                  </wp:wrapPolygon>
                </wp:wrapTight>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18870"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4821" w14:textId="77777777" w:rsidR="00204819" w:rsidRPr="005206CA" w:rsidRDefault="00204819" w:rsidP="001E4A34">
          <w:pPr>
            <w:spacing w:after="0" w:line="240" w:lineRule="auto"/>
          </w:pPr>
        </w:p>
        <w:p w14:paraId="66F4AAEC" w14:textId="77777777" w:rsidR="00204819" w:rsidRPr="005206CA" w:rsidRDefault="00204819" w:rsidP="001E4A34">
          <w:pPr>
            <w:spacing w:after="0" w:line="240" w:lineRule="auto"/>
          </w:pPr>
        </w:p>
        <w:p w14:paraId="2B0E9627" w14:textId="77777777" w:rsidR="00204819" w:rsidRPr="005206CA" w:rsidRDefault="00204819" w:rsidP="001E4A34">
          <w:pPr>
            <w:spacing w:after="0" w:line="240" w:lineRule="auto"/>
          </w:pPr>
        </w:p>
        <w:p w14:paraId="2123E5D8" w14:textId="77777777" w:rsidR="001E4A34" w:rsidRPr="005206CA" w:rsidRDefault="001E4A34" w:rsidP="001E4A34">
          <w:pPr>
            <w:spacing w:after="0" w:line="240" w:lineRule="auto"/>
          </w:pPr>
          <w:r w:rsidRPr="005206CA">
            <w:t>Wendy Craik AM</w:t>
          </w:r>
        </w:p>
        <w:p w14:paraId="7935511A" w14:textId="415161FA" w:rsidR="001E4A34" w:rsidRPr="005206CA" w:rsidRDefault="001E4A34" w:rsidP="001E4A34">
          <w:pPr>
            <w:spacing w:after="0" w:line="240" w:lineRule="auto"/>
          </w:pPr>
          <w:r w:rsidRPr="005206CA">
            <w:t>Chair</w:t>
          </w:r>
          <w:r w:rsidR="00107B9F" w:rsidRPr="005206CA">
            <w:t>, Climate Change Authority</w:t>
          </w:r>
        </w:p>
        <w:p w14:paraId="46D5B465" w14:textId="7D1624C3" w:rsidR="00107B9F" w:rsidRPr="005206CA" w:rsidRDefault="00107B9F" w:rsidP="001E4A34">
          <w:pPr>
            <w:spacing w:after="0" w:line="240" w:lineRule="auto"/>
          </w:pPr>
        </w:p>
        <w:p w14:paraId="5D0AA984" w14:textId="1AC8DECF" w:rsidR="00107B9F" w:rsidRPr="005206CA" w:rsidRDefault="00107B9F" w:rsidP="001E4A34">
          <w:pPr>
            <w:spacing w:after="0" w:line="240" w:lineRule="auto"/>
          </w:pPr>
          <w:r w:rsidRPr="005206CA">
            <w:t>11 December 2017</w:t>
          </w:r>
        </w:p>
        <w:p w14:paraId="6C766240" w14:textId="35FFD425" w:rsidR="001429CD" w:rsidRDefault="001429CD">
          <w:pPr>
            <w:spacing w:after="0" w:line="240" w:lineRule="auto"/>
            <w:rPr>
              <w:rFonts w:ascii="Arial Bold" w:hAnsi="Arial Bold"/>
              <w:b/>
              <w:caps/>
              <w:color w:val="159DCE"/>
              <w:sz w:val="34"/>
              <w:szCs w:val="34"/>
            </w:rPr>
          </w:pPr>
        </w:p>
        <w:p w14:paraId="596C9793" w14:textId="12EDB8C1" w:rsidR="00D51356" w:rsidRPr="005206CA" w:rsidRDefault="00D51356">
          <w:pPr>
            <w:spacing w:after="0" w:line="240" w:lineRule="auto"/>
            <w:rPr>
              <w:rFonts w:ascii="Arial Bold" w:hAnsi="Arial Bold"/>
              <w:b/>
              <w:caps/>
              <w:color w:val="159DCE"/>
              <w:sz w:val="34"/>
              <w:szCs w:val="34"/>
            </w:rPr>
          </w:pPr>
        </w:p>
        <w:p w14:paraId="4E3496A4" w14:textId="745366B5" w:rsidR="00A00970" w:rsidRPr="005206CA" w:rsidRDefault="00517703" w:rsidP="00E77E89">
          <w:pPr>
            <w:pStyle w:val="Heading1nonumber"/>
          </w:pPr>
          <w:bookmarkStart w:id="32" w:name="_Toc500251063"/>
          <w:bookmarkStart w:id="33" w:name="_Toc500251338"/>
          <w:bookmarkStart w:id="34" w:name="_Toc500253935"/>
          <w:bookmarkStart w:id="35" w:name="_Toc500401442"/>
          <w:bookmarkStart w:id="36" w:name="_Toc500490927"/>
          <w:bookmarkStart w:id="37" w:name="_Toc500512869"/>
          <w:bookmarkStart w:id="38" w:name="_Toc500514124"/>
          <w:bookmarkStart w:id="39" w:name="_Toc500516181"/>
          <w:bookmarkEnd w:id="29"/>
          <w:bookmarkEnd w:id="30"/>
          <w:bookmarkEnd w:id="31"/>
          <w:r w:rsidRPr="005206CA">
            <w:t>Executive summary</w:t>
          </w:r>
          <w:bookmarkEnd w:id="32"/>
          <w:bookmarkEnd w:id="33"/>
          <w:bookmarkEnd w:id="34"/>
          <w:bookmarkEnd w:id="35"/>
          <w:bookmarkEnd w:id="36"/>
          <w:bookmarkEnd w:id="37"/>
          <w:bookmarkEnd w:id="38"/>
          <w:bookmarkEnd w:id="39"/>
        </w:p>
        <w:p w14:paraId="5283E51F" w14:textId="54694DD2" w:rsidR="00A00970" w:rsidRPr="005206CA" w:rsidRDefault="00A00970" w:rsidP="00A00970">
          <w:r w:rsidRPr="005206CA">
            <w:t xml:space="preserve">The Climate Change Authority is an independent statutory agency, which provides expert advice to the Government on climate change policy. </w:t>
          </w:r>
        </w:p>
        <w:p w14:paraId="28F9C468" w14:textId="1EC52301" w:rsidR="00842109" w:rsidRPr="005206CA" w:rsidRDefault="00A00970" w:rsidP="00A00970">
          <w:r w:rsidRPr="005206CA">
            <w:t xml:space="preserve">The </w:t>
          </w:r>
          <w:r w:rsidR="00696675" w:rsidRPr="005206CA">
            <w:t>Emissions Reduction Fund (</w:t>
          </w:r>
          <w:r w:rsidRPr="005206CA">
            <w:t>ERF</w:t>
          </w:r>
          <w:r w:rsidR="00696675" w:rsidRPr="005206CA">
            <w:t>)</w:t>
          </w:r>
          <w:r w:rsidRPr="005206CA">
            <w:t xml:space="preserve"> is an emissions reduction offsets scheme combined with Government purchasing of abatement, which has been accomplished to date through competitive auctions. </w:t>
          </w:r>
          <w:r w:rsidR="001948CC" w:rsidRPr="005206CA">
            <w:t xml:space="preserve">As of </w:t>
          </w:r>
          <w:r w:rsidR="004C6D2B" w:rsidRPr="005206CA">
            <w:t>16</w:t>
          </w:r>
          <w:r w:rsidR="001948CC" w:rsidRPr="005206CA">
            <w:t xml:space="preserve"> November 2017, t</w:t>
          </w:r>
          <w:r w:rsidR="006B0D8C" w:rsidRPr="005206CA">
            <w:t>he ERF ha</w:t>
          </w:r>
          <w:r w:rsidR="001948CC" w:rsidRPr="005206CA">
            <w:t>d</w:t>
          </w:r>
          <w:r w:rsidR="006B0D8C" w:rsidRPr="005206CA">
            <w:t xml:space="preserve"> contracted </w:t>
          </w:r>
          <w:r w:rsidR="00842109" w:rsidRPr="005206CA">
            <w:rPr>
              <w:rFonts w:cs="Arial"/>
            </w:rPr>
            <w:t>189 million tonnes of emissions reductions at a cost of $2.2</w:t>
          </w:r>
          <w:r w:rsidR="002F6EEC" w:rsidRPr="005206CA">
            <w:rPr>
              <w:rFonts w:cs="Arial"/>
            </w:rPr>
            <w:t>3</w:t>
          </w:r>
          <w:r w:rsidR="00842109" w:rsidRPr="005206CA">
            <w:rPr>
              <w:rFonts w:cs="Arial"/>
            </w:rPr>
            <w:t xml:space="preserve"> billion</w:t>
          </w:r>
          <w:r w:rsidR="006B0D8C" w:rsidRPr="005206CA">
            <w:rPr>
              <w:rFonts w:cs="Arial"/>
            </w:rPr>
            <w:t xml:space="preserve"> and</w:t>
          </w:r>
          <w:r w:rsidR="00842109" w:rsidRPr="005206CA">
            <w:rPr>
              <w:rFonts w:cs="Arial"/>
            </w:rPr>
            <w:t xml:space="preserve"> </w:t>
          </w:r>
          <w:r w:rsidR="006B0D8C" w:rsidRPr="005206CA">
            <w:rPr>
              <w:rFonts w:cs="Arial"/>
            </w:rPr>
            <w:t>a</w:t>
          </w:r>
          <w:r w:rsidR="00842109" w:rsidRPr="005206CA">
            <w:rPr>
              <w:rFonts w:cs="Arial"/>
            </w:rPr>
            <w:t>round $300 million remain</w:t>
          </w:r>
          <w:r w:rsidR="00AA7950">
            <w:rPr>
              <w:rFonts w:cs="Arial"/>
            </w:rPr>
            <w:t>ed</w:t>
          </w:r>
          <w:r w:rsidR="00291A8E" w:rsidRPr="005206CA">
            <w:rPr>
              <w:rFonts w:cs="Arial"/>
            </w:rPr>
            <w:t>.</w:t>
          </w:r>
          <w:r w:rsidR="00842109" w:rsidRPr="005206CA">
            <w:rPr>
              <w:rFonts w:cs="Arial"/>
            </w:rPr>
            <w:t xml:space="preserve"> </w:t>
          </w:r>
        </w:p>
        <w:p w14:paraId="10F0A413" w14:textId="1B77E9E0" w:rsidR="00A00970" w:rsidRPr="005206CA" w:rsidRDefault="00A00970" w:rsidP="00A00970">
          <w:r w:rsidRPr="005206CA">
            <w:t xml:space="preserve">The Authority is required to review the ERF every three years. This review covers the crediting and purchasing elements of the ERF. The safeguard </w:t>
          </w:r>
          <w:r w:rsidR="0033387E">
            <w:t>mechanism</w:t>
          </w:r>
          <w:r w:rsidRPr="005206CA">
            <w:t xml:space="preserve"> is the third element of the ERF and will be covered in the Authority’s review of the </w:t>
          </w:r>
          <w:r w:rsidRPr="005206CA">
            <w:rPr>
              <w:i/>
            </w:rPr>
            <w:t xml:space="preserve">National Greenhouse and Energy Reporting </w:t>
          </w:r>
          <w:r w:rsidRPr="005206CA">
            <w:t>legislation in 2018.</w:t>
          </w:r>
        </w:p>
        <w:p w14:paraId="7AD31BA8" w14:textId="70D2B1FB" w:rsidR="00A00970" w:rsidRPr="005206CA" w:rsidRDefault="00A00970" w:rsidP="00A00970">
          <w:r w:rsidRPr="005206CA">
            <w:t xml:space="preserve">The Authority considered the role the ERF could play in meeting Australia’s Paris Agreement </w:t>
          </w:r>
          <w:r w:rsidRPr="005206CA" w:rsidDel="0096770F">
            <w:t xml:space="preserve">obligations </w:t>
          </w:r>
          <w:r w:rsidRPr="005206CA">
            <w:t xml:space="preserve">in its report </w:t>
          </w:r>
          <w:r w:rsidRPr="005206CA">
            <w:rPr>
              <w:rFonts w:cs="Arial"/>
              <w:i/>
            </w:rPr>
            <w:t xml:space="preserve">Towards a Climate Policy Toolkit: </w:t>
          </w:r>
          <w:r w:rsidRPr="005206CA">
            <w:rPr>
              <w:i/>
            </w:rPr>
            <w:t>Special Review on Australia’s climate goals and policies</w:t>
          </w:r>
          <w:r w:rsidRPr="005206CA">
            <w:t xml:space="preserve"> (</w:t>
          </w:r>
          <w:r w:rsidRPr="005206CA">
            <w:rPr>
              <w:rStyle w:val="In-textChar"/>
            </w:rPr>
            <w:t>CCA 2016</w:t>
          </w:r>
          <w:r w:rsidRPr="005206CA">
            <w:t xml:space="preserve">). The Authority recommended that ERF crediting and purchasing continue until other policies to reduce emissions are put in place and envisaged an ongoing role for ERF crediting in the land sector. </w:t>
          </w:r>
        </w:p>
        <w:p w14:paraId="0FD8E310" w14:textId="6D35103B" w:rsidR="00A00970" w:rsidRPr="005206CA" w:rsidRDefault="00A00970" w:rsidP="00A00970">
          <w:r w:rsidRPr="005206CA">
            <w:t xml:space="preserve">The Authority considers its recommendations on the ERF in the </w:t>
          </w:r>
          <w:r w:rsidR="00EA182E" w:rsidRPr="005206CA">
            <w:rPr>
              <w:i/>
            </w:rPr>
            <w:t xml:space="preserve">2016 </w:t>
          </w:r>
          <w:r w:rsidRPr="005206CA">
            <w:rPr>
              <w:i/>
            </w:rPr>
            <w:t>Special Review</w:t>
          </w:r>
          <w:r w:rsidRPr="005206CA">
            <w:t xml:space="preserve"> remain current. This review focuses on the operational aspects of the ERF, in particular whether the scheme is well administered and delivering low cost and genuine emissions reductions.</w:t>
          </w:r>
        </w:p>
        <w:p w14:paraId="0E8B8700" w14:textId="77777777" w:rsidR="00A00970" w:rsidRPr="005206CA" w:rsidRDefault="00A00970" w:rsidP="002800B4">
          <w:pPr>
            <w:pStyle w:val="Heading2nonumber"/>
            <w:rPr>
              <w:b w:val="0"/>
            </w:rPr>
          </w:pPr>
          <w:bookmarkStart w:id="40" w:name="_Toc499051714"/>
          <w:bookmarkStart w:id="41" w:name="_Toc500251064"/>
          <w:bookmarkStart w:id="42" w:name="_Toc500251339"/>
          <w:bookmarkStart w:id="43" w:name="_Toc500253936"/>
          <w:bookmarkStart w:id="44" w:name="_Toc500401443"/>
          <w:bookmarkStart w:id="45" w:name="_Toc500490928"/>
          <w:bookmarkStart w:id="46" w:name="_Toc500512870"/>
          <w:bookmarkStart w:id="47" w:name="_Toc500514125"/>
          <w:bookmarkStart w:id="48" w:name="_Toc500516182"/>
          <w:r w:rsidRPr="005206CA">
            <w:t>Maintaining integrity</w:t>
          </w:r>
          <w:bookmarkEnd w:id="40"/>
          <w:bookmarkEnd w:id="41"/>
          <w:bookmarkEnd w:id="42"/>
          <w:bookmarkEnd w:id="43"/>
          <w:bookmarkEnd w:id="44"/>
          <w:bookmarkEnd w:id="45"/>
          <w:bookmarkEnd w:id="46"/>
          <w:bookmarkEnd w:id="47"/>
          <w:bookmarkEnd w:id="48"/>
        </w:p>
        <w:p w14:paraId="19C6C898" w14:textId="5C92A4AB" w:rsidR="00A00970" w:rsidRPr="005206CA" w:rsidRDefault="00A00970" w:rsidP="00A00970">
          <w:r w:rsidRPr="005206CA">
            <w:t>The ERF’s methods stipulate how abatement is estimated and reported as well as giving effect to offsets integrity standards</w:t>
          </w:r>
          <w:r w:rsidR="007712DB" w:rsidRPr="005206CA">
            <w:t xml:space="preserve"> (which set standards for the environmental integrity of ERF projects)</w:t>
          </w:r>
          <w:r w:rsidRPr="005206CA">
            <w:t>. Some stakeholders want to develop their own ERF methods</w:t>
          </w:r>
          <w:r w:rsidR="00696675" w:rsidRPr="005206CA">
            <w:t xml:space="preserve"> to realise new abatement opportunities</w:t>
          </w:r>
          <w:r w:rsidRPr="005206CA">
            <w:t xml:space="preserve">. This could result in methods that do not meet the scheme’s legal requirements and the Authority recommends instead the Department </w:t>
          </w:r>
          <w:r w:rsidR="005150D2" w:rsidRPr="005206CA">
            <w:t xml:space="preserve">of the Environment and Energy </w:t>
          </w:r>
          <w:r w:rsidRPr="005206CA">
            <w:t xml:space="preserve">seek proposals from stakeholders on new methods, continue to involve them in method development and publish priorities for method development every two years. Recent research suggests that there is still untapped abatement potential on the land but new research and development is needed to capture these </w:t>
          </w:r>
          <w:r w:rsidR="00696675" w:rsidRPr="005206CA">
            <w:t xml:space="preserve">genuine </w:t>
          </w:r>
          <w:r w:rsidRPr="005206CA">
            <w:t xml:space="preserve">opportunities. </w:t>
          </w:r>
          <w:r w:rsidRPr="005206CA">
            <w:rPr>
              <w:lang w:eastAsia="en-AU"/>
            </w:rPr>
            <w:t>The Authority recommends that additional funding be provided to the Department to work with research organisations and stakeholders to develop new methods.</w:t>
          </w:r>
        </w:p>
        <w:p w14:paraId="7A0A2E88" w14:textId="0BDC9843" w:rsidR="00A00970" w:rsidRPr="005206CA" w:rsidRDefault="00A00970" w:rsidP="00A00970">
          <w:r w:rsidRPr="005206CA">
            <w:t xml:space="preserve">The Authority notes that ERF projects can have very long crediting periods and projects can continue to generate Australian Carbon Credit Units (ACCUs) even if changes are made to the original method. To improve integrity, the Authority recommends that </w:t>
          </w:r>
          <w:r w:rsidR="006517B3">
            <w:t>scheme</w:t>
          </w:r>
          <w:r w:rsidR="006517B3" w:rsidRPr="005206CA">
            <w:t xml:space="preserve"> </w:t>
          </w:r>
          <w:r w:rsidRPr="005206CA">
            <w:t>participants be required to transition projects to new methods within two years of a method being varied, including for any changes to the way abatement is estimated.</w:t>
          </w:r>
        </w:p>
        <w:p w14:paraId="73A803E6" w14:textId="00439AE9" w:rsidR="00A00970" w:rsidRPr="005206CA" w:rsidRDefault="00A00970" w:rsidP="00A00970">
          <w:r w:rsidRPr="005206CA">
            <w:t xml:space="preserve">The Authority considers that the Emissions Reduction Assurance Committee (ERAC) plays a vital role </w:t>
          </w:r>
          <w:r w:rsidR="00696675" w:rsidRPr="005206CA">
            <w:t>in maintaining</w:t>
          </w:r>
          <w:r w:rsidRPr="005206CA">
            <w:t xml:space="preserve"> the integrity of the ERF. The ERAC’s current method reviews will need to ensure that projects remain additional given changes in technology and practices as methods come up for a possible extension of their crediting periods. The Authority recommends the ERAC look closely at whether methods for soil carbon, </w:t>
          </w:r>
          <w:r w:rsidR="00142FC7" w:rsidRPr="005206CA">
            <w:t>human</w:t>
          </w:r>
          <w:r w:rsidR="00722380" w:rsidRPr="005206CA">
            <w:t>-</w:t>
          </w:r>
          <w:r w:rsidR="00142FC7" w:rsidRPr="005206CA">
            <w:t xml:space="preserve">induced regeneration, </w:t>
          </w:r>
          <w:r w:rsidRPr="005206CA">
            <w:t>native forest managed regrowth and landfill gas continue to meet the offsets integrity standards.</w:t>
          </w:r>
        </w:p>
        <w:p w14:paraId="5155468F" w14:textId="77777777" w:rsidR="009D5426" w:rsidRPr="005206CA" w:rsidDel="0071719F" w:rsidRDefault="009D5426" w:rsidP="009D5426">
          <w:r w:rsidRPr="005206CA" w:rsidDel="0071719F">
            <w:t>The</w:t>
          </w:r>
          <w:r w:rsidRPr="005206CA">
            <w:t xml:space="preserve"> Authority notes that the</w:t>
          </w:r>
          <w:r w:rsidRPr="005206CA" w:rsidDel="0071719F">
            <w:t xml:space="preserve"> ERF was set up with the expectation that methods would be refined over time. </w:t>
          </w:r>
          <w:r w:rsidRPr="005206CA">
            <w:t xml:space="preserve">While some problems have emerged in the small number of methods mentioned above, this is to be expected </w:t>
          </w:r>
          <w:r w:rsidRPr="005206CA" w:rsidDel="0071719F">
            <w:t>given the complex, innovative and technical</w:t>
          </w:r>
          <w:r w:rsidRPr="005206CA">
            <w:t xml:space="preserve"> </w:t>
          </w:r>
          <w:r w:rsidRPr="005206CA" w:rsidDel="0071719F">
            <w:t>nature of the scheme.</w:t>
          </w:r>
          <w:r w:rsidRPr="005206CA">
            <w:t xml:space="preserve"> </w:t>
          </w:r>
          <w:r w:rsidRPr="005206CA" w:rsidDel="0071719F">
            <w:t xml:space="preserve">The Authority has not seen evidence that additionality is a </w:t>
          </w:r>
          <w:r w:rsidRPr="005206CA">
            <w:t xml:space="preserve">systemic </w:t>
          </w:r>
          <w:r w:rsidRPr="005206CA" w:rsidDel="0071719F">
            <w:t xml:space="preserve">problem </w:t>
          </w:r>
          <w:r w:rsidRPr="005206CA">
            <w:t xml:space="preserve">in the ERF </w:t>
          </w:r>
          <w:r w:rsidRPr="005206CA" w:rsidDel="0071719F">
            <w:t>but it remains a key watch point.</w:t>
          </w:r>
        </w:p>
        <w:p w14:paraId="0FAA8F5C" w14:textId="155364D5" w:rsidR="00A00970" w:rsidRPr="005206CA" w:rsidRDefault="00696675" w:rsidP="00A00970">
          <w:r w:rsidRPr="005206CA">
            <w:t>T</w:t>
          </w:r>
          <w:r w:rsidR="00A00970" w:rsidRPr="005206CA">
            <w:t xml:space="preserve">he Authority recommends accountability for the ERAC secretariat be separate from method development in the Department </w:t>
          </w:r>
          <w:r w:rsidRPr="005206CA">
            <w:t xml:space="preserve">to avoid any perception of </w:t>
          </w:r>
          <w:r w:rsidR="00CB0777">
            <w:t xml:space="preserve">a </w:t>
          </w:r>
          <w:r w:rsidRPr="005206CA">
            <w:t xml:space="preserve">conflict </w:t>
          </w:r>
          <w:r w:rsidR="00CB0777">
            <w:t xml:space="preserve">of interest </w:t>
          </w:r>
          <w:r w:rsidR="00A00970" w:rsidRPr="005206CA">
            <w:t>and that the ERAC develop guidance on how it interprets the offsets integrity standards to ensure consistency in its decision making over time.</w:t>
          </w:r>
        </w:p>
        <w:p w14:paraId="4D180C31" w14:textId="5B99CFC9" w:rsidR="00A00970" w:rsidRPr="005206CA" w:rsidRDefault="00A00970" w:rsidP="00A00970">
          <w:r w:rsidRPr="005206CA">
            <w:t xml:space="preserve">The potential for </w:t>
          </w:r>
          <w:r w:rsidR="005D28DF" w:rsidRPr="005206CA">
            <w:t xml:space="preserve">reversal of </w:t>
          </w:r>
          <w:r w:rsidRPr="005206CA">
            <w:t xml:space="preserve">some of the </w:t>
          </w:r>
          <w:r w:rsidR="00643285" w:rsidRPr="005206CA">
            <w:t xml:space="preserve">139 </w:t>
          </w:r>
          <w:r w:rsidRPr="005206CA">
            <w:t xml:space="preserve">million tonnes of carbon </w:t>
          </w:r>
          <w:r w:rsidR="00291A8E" w:rsidRPr="005206CA">
            <w:t xml:space="preserve">that will be </w:t>
          </w:r>
          <w:r w:rsidRPr="005206CA">
            <w:t xml:space="preserve">stored in vegetation and </w:t>
          </w:r>
          <w:r w:rsidR="009D5426">
            <w:t>soil</w:t>
          </w:r>
          <w:r w:rsidRPr="005206CA">
            <w:t xml:space="preserve"> projects</w:t>
          </w:r>
          <w:r w:rsidR="000F0CD2" w:rsidRPr="005206CA">
            <w:t xml:space="preserve"> is </w:t>
          </w:r>
          <w:r w:rsidRPr="005206CA">
            <w:t xml:space="preserve">a significant risk. To bolster understanding of permanence obligations, the Authority recommends that </w:t>
          </w:r>
          <w:r w:rsidR="006517B3">
            <w:t>scheme</w:t>
          </w:r>
          <w:r w:rsidR="006517B3" w:rsidRPr="005206CA">
            <w:t xml:space="preserve"> </w:t>
          </w:r>
          <w:r w:rsidRPr="005206CA">
            <w:t>participants submit plan</w:t>
          </w:r>
          <w:r w:rsidR="009D5426">
            <w:t>s</w:t>
          </w:r>
          <w:r w:rsidRPr="005206CA">
            <w:t xml:space="preserve"> to the </w:t>
          </w:r>
          <w:r w:rsidR="00C87C48" w:rsidRPr="005206CA">
            <w:t>Clean Energy Regulator (</w:t>
          </w:r>
          <w:r w:rsidRPr="005206CA">
            <w:t>CER</w:t>
          </w:r>
          <w:r w:rsidR="00C87C48" w:rsidRPr="005206CA">
            <w:t>)</w:t>
          </w:r>
          <w:r w:rsidRPr="005206CA">
            <w:t xml:space="preserve"> outlining how they will maintain carbon in their projects and deal with the risk of fire. To enhance information available to purchasers of land with ERF projects, the Authority recommends that scheme participants </w:t>
          </w:r>
          <w:r w:rsidR="000F0CD2" w:rsidRPr="005206CA">
            <w:t xml:space="preserve">can </w:t>
          </w:r>
          <w:r w:rsidRPr="005206CA">
            <w:t xml:space="preserve">no longer withhold a project from the CER’s project register. </w:t>
          </w:r>
          <w:r w:rsidR="00663AF5" w:rsidRPr="005206CA">
            <w:t xml:space="preserve">The Authority is of the view that the </w:t>
          </w:r>
          <w:r w:rsidRPr="005206CA">
            <w:t>CER should prepare guidance for conveyancers on permanence obligations ‘running with the land’</w:t>
          </w:r>
          <w:r w:rsidR="00663AF5" w:rsidRPr="005206CA">
            <w:t xml:space="preserve"> and enhance the search functions on their website </w:t>
          </w:r>
          <w:r w:rsidR="001A3F98" w:rsidRPr="005206CA">
            <w:t>to make</w:t>
          </w:r>
          <w:r w:rsidR="00663AF5" w:rsidRPr="005206CA">
            <w:t xml:space="preserve"> it </w:t>
          </w:r>
          <w:r w:rsidR="001A3F98" w:rsidRPr="005206CA">
            <w:t xml:space="preserve">easier to </w:t>
          </w:r>
          <w:r w:rsidR="0098740E" w:rsidRPr="005206CA">
            <w:t xml:space="preserve">find </w:t>
          </w:r>
          <w:r w:rsidR="00663AF5" w:rsidRPr="005206CA">
            <w:t>projects with permanence obligations</w:t>
          </w:r>
          <w:r w:rsidRPr="005206CA">
            <w:t xml:space="preserve">. The Authority also recommends that the threshold for relinquishment of ACCUs to the CER </w:t>
          </w:r>
          <w:r w:rsidR="009D5426">
            <w:t>(</w:t>
          </w:r>
          <w:r w:rsidRPr="005206CA">
            <w:t>in the event of significant reversals</w:t>
          </w:r>
          <w:r w:rsidR="009D5426">
            <w:t>)</w:t>
          </w:r>
          <w:r w:rsidRPr="005206CA">
            <w:t xml:space="preserve"> be reviewed. </w:t>
          </w:r>
        </w:p>
        <w:p w14:paraId="2E9880E7" w14:textId="77777777" w:rsidR="00A00970" w:rsidRPr="005206CA" w:rsidRDefault="00A00970" w:rsidP="00A00970">
          <w:r w:rsidRPr="005206CA">
            <w:t>The CER withholds ACCUs to address permanence through the risk of reversal buffer and discounts for the 25 year permanence period option. The Authority will review these discounting arrangements at regular intervals to test their effectiveness.</w:t>
          </w:r>
        </w:p>
        <w:p w14:paraId="2B95F43D" w14:textId="77777777" w:rsidR="00A00970" w:rsidRPr="005206CA" w:rsidRDefault="00A00970" w:rsidP="002800B4">
          <w:pPr>
            <w:pStyle w:val="Heading2nonumber"/>
            <w:rPr>
              <w:b w:val="0"/>
            </w:rPr>
          </w:pPr>
          <w:bookmarkStart w:id="49" w:name="_Toc499051715"/>
          <w:bookmarkStart w:id="50" w:name="_Toc500251065"/>
          <w:bookmarkStart w:id="51" w:name="_Toc500251340"/>
          <w:bookmarkStart w:id="52" w:name="_Toc500253937"/>
          <w:bookmarkStart w:id="53" w:name="_Toc500401444"/>
          <w:bookmarkStart w:id="54" w:name="_Toc500490929"/>
          <w:bookmarkStart w:id="55" w:name="_Toc500512871"/>
          <w:bookmarkStart w:id="56" w:name="_Toc500514126"/>
          <w:bookmarkStart w:id="57" w:name="_Toc500516183"/>
          <w:r w:rsidRPr="005206CA">
            <w:t>Purchasing, delivery and the secondary market</w:t>
          </w:r>
          <w:bookmarkEnd w:id="49"/>
          <w:bookmarkEnd w:id="50"/>
          <w:bookmarkEnd w:id="51"/>
          <w:bookmarkEnd w:id="52"/>
          <w:bookmarkEnd w:id="53"/>
          <w:bookmarkEnd w:id="54"/>
          <w:bookmarkEnd w:id="55"/>
          <w:bookmarkEnd w:id="56"/>
          <w:bookmarkEnd w:id="57"/>
        </w:p>
        <w:p w14:paraId="32C7853A" w14:textId="36C52C89" w:rsidR="00A00970" w:rsidRPr="005206CA" w:rsidRDefault="00A00970" w:rsidP="00A00970">
          <w:pPr>
            <w:rPr>
              <w:b/>
            </w:rPr>
          </w:pPr>
          <w:r w:rsidRPr="005206CA">
            <w:t xml:space="preserve">The Authority considered whether the ERF’s purchasing principles’ emphasis on least cost abatement should be changed to better address risks like non-permanence, or to allow the ERF to pay directly for co-benefits like biodiversity. Moving away from least cost could make CER’s purchasing decisions harder to justify and the Authority believes that the ERF’s limited resources should </w:t>
          </w:r>
          <w:r w:rsidR="009D5426">
            <w:t>be</w:t>
          </w:r>
          <w:r w:rsidR="009D5426" w:rsidRPr="005206CA">
            <w:t xml:space="preserve"> </w:t>
          </w:r>
          <w:r w:rsidRPr="005206CA">
            <w:t>focused on helping Australia meet its Paris Agreement target</w:t>
          </w:r>
          <w:r w:rsidRPr="005206CA" w:rsidDel="006517B3">
            <w:t>s</w:t>
          </w:r>
          <w:r w:rsidRPr="005206CA">
            <w:t>.</w:t>
          </w:r>
        </w:p>
        <w:p w14:paraId="2B4EDD56" w14:textId="12463774" w:rsidR="00A00970" w:rsidRPr="005206CA" w:rsidRDefault="00A00970" w:rsidP="00A00970">
          <w:r w:rsidRPr="005206CA">
            <w:t xml:space="preserve">There is a risk that abatement contracted through the ERF may not eventuate if some </w:t>
          </w:r>
          <w:r w:rsidR="001213C9">
            <w:t xml:space="preserve">scheme </w:t>
          </w:r>
          <w:r w:rsidRPr="005206CA">
            <w:t xml:space="preserve">participants rely on the secondary market to source ACCUs rather than investing directly in projects themselves. The Authority recommends that new ERF contracts require </w:t>
          </w:r>
          <w:r w:rsidR="001213C9">
            <w:t xml:space="preserve">scheme </w:t>
          </w:r>
          <w:r w:rsidRPr="005206CA">
            <w:t xml:space="preserve">participants to supply a proportion (30-50 per cent) of their contracted ACCUs from projects they </w:t>
          </w:r>
          <w:r w:rsidR="007712DB" w:rsidRPr="005206CA">
            <w:t>use to register</w:t>
          </w:r>
          <w:r w:rsidRPr="005206CA">
            <w:t xml:space="preserve"> at auction. The market damages </w:t>
          </w:r>
          <w:r w:rsidR="001948CC" w:rsidRPr="005206CA">
            <w:t xml:space="preserve">provision </w:t>
          </w:r>
          <w:r w:rsidRPr="005206CA">
            <w:t xml:space="preserve">should also be reviewed for new </w:t>
          </w:r>
          <w:r w:rsidR="001948CC" w:rsidRPr="005206CA">
            <w:t xml:space="preserve">ERF </w:t>
          </w:r>
          <w:r w:rsidRPr="005206CA">
            <w:t xml:space="preserve">contracts to encourage delivery even if secondary market prices rise to the point where </w:t>
          </w:r>
          <w:r w:rsidR="001213C9">
            <w:t xml:space="preserve">scheme </w:t>
          </w:r>
          <w:r w:rsidRPr="005206CA">
            <w:t xml:space="preserve">participants have a strong incentive to default. </w:t>
          </w:r>
        </w:p>
        <w:p w14:paraId="0B8DE8DD" w14:textId="77777777" w:rsidR="00A00970" w:rsidRPr="005206CA" w:rsidRDefault="00A00970" w:rsidP="00A00970">
          <w:r w:rsidRPr="005206CA">
            <w:t>The risk of an ACCU shortfall could be further reduced if the secondary market is more transparent and liquid. The Authority recommends that the CER publish timely information about holdings of ACCUs for prospective purchasers and a regular statement of opportunities to signal when new investment is needed.</w:t>
          </w:r>
        </w:p>
        <w:p w14:paraId="5E2B17BC" w14:textId="454A476E" w:rsidR="00A00970" w:rsidRPr="005206CA" w:rsidRDefault="00A00970" w:rsidP="00A00970">
          <w:r w:rsidRPr="005206CA">
            <w:t xml:space="preserve">Some stakeholders remain concerned about </w:t>
          </w:r>
          <w:r w:rsidR="000F0CD2" w:rsidRPr="005206CA">
            <w:t>the risk of</w:t>
          </w:r>
          <w:r w:rsidRPr="005206CA">
            <w:t xml:space="preserve"> unscrupulous carbon service providers in the ERF. </w:t>
          </w:r>
          <w:r w:rsidR="00663AF5" w:rsidRPr="005206CA">
            <w:t xml:space="preserve">The Authority recommends that the CER require a declaration from landholders that they have read the Department’s </w:t>
          </w:r>
          <w:r w:rsidR="004E3F35" w:rsidRPr="005206CA">
            <w:t xml:space="preserve">ERF </w:t>
          </w:r>
          <w:r w:rsidR="00663AF5" w:rsidRPr="005206CA">
            <w:t xml:space="preserve">aggregation agreement resources </w:t>
          </w:r>
          <w:r w:rsidR="004E3F35" w:rsidRPr="005206CA">
            <w:t>so they are aware of the obligations they will be taking on</w:t>
          </w:r>
          <w:r w:rsidR="00663AF5" w:rsidRPr="005206CA">
            <w:t xml:space="preserve">. </w:t>
          </w:r>
          <w:r w:rsidRPr="005206CA">
            <w:t>The Authority recommends that</w:t>
          </w:r>
          <w:r w:rsidRPr="005206CA" w:rsidDel="006517B3">
            <w:t xml:space="preserve"> </w:t>
          </w:r>
          <w:r w:rsidR="006517B3">
            <w:t>scheme</w:t>
          </w:r>
          <w:r w:rsidR="006517B3" w:rsidRPr="005206CA">
            <w:t xml:space="preserve"> </w:t>
          </w:r>
          <w:r w:rsidRPr="005206CA">
            <w:t xml:space="preserve">participants be required to notify </w:t>
          </w:r>
          <w:r w:rsidR="004A41AD" w:rsidRPr="005206CA">
            <w:t xml:space="preserve">the </w:t>
          </w:r>
          <w:r w:rsidRPr="005206CA">
            <w:t xml:space="preserve">CER of any individuals or firms they paid for advice, and the Fit and Proper Person requirement be extended to </w:t>
          </w:r>
          <w:r w:rsidR="001948CC" w:rsidRPr="005206CA">
            <w:t xml:space="preserve">designated </w:t>
          </w:r>
          <w:r w:rsidRPr="005206CA">
            <w:t>agents involved in the scheme.</w:t>
          </w:r>
        </w:p>
        <w:p w14:paraId="363A8301" w14:textId="709C7825" w:rsidR="004C326F" w:rsidRPr="005206CA" w:rsidRDefault="006B602B" w:rsidP="004C326F">
          <w:pPr>
            <w:rPr>
              <w:b/>
              <w:color w:val="159DCE"/>
              <w:sz w:val="18"/>
              <w:szCs w:val="18"/>
            </w:rPr>
          </w:pPr>
          <w:r w:rsidRPr="005206CA">
            <w:t>The Authority recommends</w:t>
          </w:r>
          <w:r w:rsidR="007712DB" w:rsidRPr="005206CA">
            <w:t xml:space="preserve"> some</w:t>
          </w:r>
          <w:r w:rsidRPr="005206CA">
            <w:t xml:space="preserve"> </w:t>
          </w:r>
          <w:r w:rsidR="00397C97" w:rsidRPr="005206CA">
            <w:t>industry</w:t>
          </w:r>
          <w:r w:rsidR="004C326F" w:rsidRPr="005206CA">
            <w:t xml:space="preserve"> </w:t>
          </w:r>
          <w:r w:rsidR="007712DB" w:rsidRPr="005206CA">
            <w:t xml:space="preserve">organisations </w:t>
          </w:r>
          <w:r w:rsidR="004C326F" w:rsidRPr="005206CA">
            <w:t xml:space="preserve">or local government associations </w:t>
          </w:r>
          <w:r w:rsidR="009D5426">
            <w:t xml:space="preserve">consider </w:t>
          </w:r>
          <w:r w:rsidR="004C326F" w:rsidRPr="005206CA">
            <w:t>offer</w:t>
          </w:r>
          <w:r w:rsidR="009D5426">
            <w:t>ing</w:t>
          </w:r>
          <w:r w:rsidR="007712DB" w:rsidRPr="005206CA">
            <w:t xml:space="preserve"> </w:t>
          </w:r>
          <w:r w:rsidR="004E3F35" w:rsidRPr="005206CA">
            <w:t xml:space="preserve">a trusted source of </w:t>
          </w:r>
          <w:r w:rsidR="004C326F" w:rsidRPr="005206CA">
            <w:t>advice</w:t>
          </w:r>
          <w:r w:rsidR="007712DB" w:rsidRPr="005206CA">
            <w:t xml:space="preserve"> on ERF</w:t>
          </w:r>
          <w:r w:rsidR="004C326F" w:rsidRPr="005206CA">
            <w:t xml:space="preserve"> </w:t>
          </w:r>
          <w:r w:rsidR="0046627E" w:rsidRPr="005206CA">
            <w:t xml:space="preserve">projects </w:t>
          </w:r>
          <w:r w:rsidR="004C326F" w:rsidRPr="005206CA">
            <w:t>to their stakeholders.</w:t>
          </w:r>
        </w:p>
        <w:p w14:paraId="7DC092EE" w14:textId="064DC8BA" w:rsidR="00A00970" w:rsidRPr="005206CA" w:rsidRDefault="00A00970" w:rsidP="002800B4">
          <w:pPr>
            <w:pStyle w:val="Heading2nonumber"/>
          </w:pPr>
          <w:bookmarkStart w:id="58" w:name="_Toc499051716"/>
          <w:bookmarkStart w:id="59" w:name="_Toc500251066"/>
          <w:bookmarkStart w:id="60" w:name="_Toc500251341"/>
          <w:bookmarkStart w:id="61" w:name="_Toc500253938"/>
          <w:bookmarkStart w:id="62" w:name="_Toc500401445"/>
          <w:bookmarkStart w:id="63" w:name="_Toc500490930"/>
          <w:bookmarkStart w:id="64" w:name="_Toc500512872"/>
          <w:bookmarkStart w:id="65" w:name="_Toc500514127"/>
          <w:bookmarkStart w:id="66" w:name="_Toc500516184"/>
          <w:r w:rsidRPr="005206CA">
            <w:t>Environmental</w:t>
          </w:r>
          <w:r w:rsidR="00126DF6">
            <w:t xml:space="preserve"> and</w:t>
          </w:r>
          <w:r w:rsidRPr="005206CA">
            <w:t xml:space="preserve"> social impacts</w:t>
          </w:r>
          <w:bookmarkEnd w:id="58"/>
          <w:bookmarkEnd w:id="59"/>
          <w:bookmarkEnd w:id="60"/>
          <w:bookmarkEnd w:id="61"/>
          <w:bookmarkEnd w:id="62"/>
          <w:bookmarkEnd w:id="63"/>
          <w:bookmarkEnd w:id="64"/>
          <w:bookmarkEnd w:id="65"/>
          <w:bookmarkEnd w:id="66"/>
        </w:p>
        <w:p w14:paraId="5FD19EEF" w14:textId="153B79D6" w:rsidR="00A00970" w:rsidRPr="005206CA" w:rsidRDefault="00A00970" w:rsidP="00A00970">
          <w:r w:rsidRPr="005206CA">
            <w:t xml:space="preserve">The Authority found that arrangements to address adverse environmental or social impacts from ERF projects are working reasonably well. However, the Authority recommends that </w:t>
          </w:r>
          <w:r w:rsidR="001213C9">
            <w:t xml:space="preserve">scheme </w:t>
          </w:r>
          <w:r w:rsidRPr="005206CA">
            <w:t xml:space="preserve">participants provide the CER with evidence that they advised the local Natural Resource Management (NRM) body of their project (rather than just saying whether it is consistent with their local NRM plan) </w:t>
          </w:r>
          <w:r w:rsidR="006905DA">
            <w:t>to</w:t>
          </w:r>
          <w:r w:rsidRPr="005206CA" w:rsidDel="006905DA">
            <w:t xml:space="preserve"> </w:t>
          </w:r>
          <w:r w:rsidR="006905DA" w:rsidRPr="005206CA">
            <w:t>facilitat</w:t>
          </w:r>
          <w:r w:rsidR="006905DA">
            <w:t>e</w:t>
          </w:r>
          <w:r w:rsidR="006905DA" w:rsidRPr="005206CA">
            <w:t xml:space="preserve"> </w:t>
          </w:r>
          <w:r w:rsidRPr="005206CA">
            <w:t xml:space="preserve">engagement between scheme participants and the NRM planning bodies. </w:t>
          </w:r>
        </w:p>
        <w:p w14:paraId="07CB1503" w14:textId="25BDD232" w:rsidR="00A00970" w:rsidRPr="005206CA" w:rsidRDefault="00A00970" w:rsidP="00A00970">
          <w:r w:rsidRPr="005206CA">
            <w:t>The Authority is of the view that uncertainty on legal issues related to native title, consultation and consent is a barrier to ERF savanna fire projects delivering further benefits to Indigenous communities and other stakeholders. The Authority recommends that the CER finalise its guidance to clarify expectations on consultation with Indigenous communities. The Authority recommends that</w:t>
          </w:r>
          <w:r w:rsidR="001213C9">
            <w:t xml:space="preserve"> scheme</w:t>
          </w:r>
          <w:r w:rsidRPr="005206CA">
            <w:t xml:space="preserve"> participants notify Registered Native Title Body Corporates of project applications on determined Native Title land and other </w:t>
          </w:r>
          <w:r w:rsidR="00AE5C90" w:rsidRPr="005206CA">
            <w:t xml:space="preserve">known </w:t>
          </w:r>
          <w:r w:rsidRPr="005206CA">
            <w:t>eligible interest holders before projects are registered with the CER</w:t>
          </w:r>
          <w:r w:rsidR="00291A8E" w:rsidRPr="005206CA">
            <w:t>. Scheme participants would be required to</w:t>
          </w:r>
          <w:r w:rsidR="00966EA0" w:rsidRPr="005206CA">
            <w:t xml:space="preserve"> </w:t>
          </w:r>
          <w:r w:rsidR="00EE2CFA" w:rsidRPr="005206CA">
            <w:t>provide the CER</w:t>
          </w:r>
          <w:r w:rsidRPr="005206CA">
            <w:t xml:space="preserve"> </w:t>
          </w:r>
          <w:r w:rsidR="00EE2CFA" w:rsidRPr="005206CA">
            <w:t xml:space="preserve">with </w:t>
          </w:r>
          <w:r w:rsidRPr="005206CA">
            <w:t>evidence of this consultation. The Authority also recommends that the CER not allow scheme participants</w:t>
          </w:r>
          <w:r w:rsidRPr="005206CA">
            <w:rPr>
              <w:rFonts w:eastAsia="Times New Roman"/>
            </w:rPr>
            <w:t xml:space="preserve"> to bid at auction until all eligible interest holder consents have been obtained.</w:t>
          </w:r>
        </w:p>
        <w:p w14:paraId="14F1D3EF" w14:textId="321A3CD5" w:rsidR="00A00970" w:rsidRPr="005206CA" w:rsidRDefault="00A00970" w:rsidP="002800B4">
          <w:pPr>
            <w:pStyle w:val="Heading2nonumber"/>
            <w:rPr>
              <w:b w:val="0"/>
            </w:rPr>
          </w:pPr>
          <w:bookmarkStart w:id="67" w:name="_Toc499051717"/>
          <w:bookmarkStart w:id="68" w:name="_Toc500251067"/>
          <w:bookmarkStart w:id="69" w:name="_Toc500251342"/>
          <w:bookmarkStart w:id="70" w:name="_Toc500253939"/>
          <w:bookmarkStart w:id="71" w:name="_Toc500401446"/>
          <w:bookmarkStart w:id="72" w:name="_Toc500490931"/>
          <w:bookmarkStart w:id="73" w:name="_Toc500512873"/>
          <w:bookmarkStart w:id="74" w:name="_Toc500514128"/>
          <w:bookmarkStart w:id="75" w:name="_Toc500516185"/>
          <w:r w:rsidRPr="005206CA">
            <w:t>Administration of the E</w:t>
          </w:r>
          <w:r w:rsidR="00A31027" w:rsidRPr="005206CA">
            <w:t xml:space="preserve">missions </w:t>
          </w:r>
          <w:r w:rsidRPr="005206CA">
            <w:t>R</w:t>
          </w:r>
          <w:r w:rsidR="00A31027" w:rsidRPr="005206CA">
            <w:t xml:space="preserve">eduction </w:t>
          </w:r>
          <w:r w:rsidRPr="005206CA">
            <w:t>F</w:t>
          </w:r>
          <w:bookmarkEnd w:id="67"/>
          <w:r w:rsidR="00A31027" w:rsidRPr="005206CA">
            <w:t>und</w:t>
          </w:r>
          <w:bookmarkEnd w:id="68"/>
          <w:bookmarkEnd w:id="69"/>
          <w:bookmarkEnd w:id="70"/>
          <w:bookmarkEnd w:id="71"/>
          <w:bookmarkEnd w:id="72"/>
          <w:bookmarkEnd w:id="73"/>
          <w:bookmarkEnd w:id="74"/>
          <w:bookmarkEnd w:id="75"/>
        </w:p>
        <w:p w14:paraId="1C5C2203" w14:textId="7E359EA1" w:rsidR="00A00970" w:rsidRPr="005206CA" w:rsidRDefault="00A00970" w:rsidP="00A00970">
          <w:r w:rsidRPr="005206CA">
            <w:t>In general, stakeholders gave positive feedback on how the ERF is administered. The auctions and project administration appear to run reasonably smoothly, particularly given the scheme’s complexity. In response to some feedback however, the Authority recommends the CER examine its processes to see if it can respond to complex enquiries more promptly.</w:t>
          </w:r>
        </w:p>
        <w:p w14:paraId="15918AAF" w14:textId="5AEC86CC" w:rsidR="00A00970" w:rsidRPr="005206CA" w:rsidRDefault="00A00970" w:rsidP="00A00970">
          <w:r w:rsidRPr="005206CA">
            <w:t xml:space="preserve">The Authority examined the costs of administering the ERF to see whether it represents value for money. </w:t>
          </w:r>
          <w:r w:rsidR="006905DA">
            <w:t>For a complex and evolving scheme, t</w:t>
          </w:r>
          <w:r w:rsidR="006905DA" w:rsidRPr="005206CA">
            <w:t xml:space="preserve">he </w:t>
          </w:r>
          <w:r w:rsidRPr="005206CA">
            <w:t>Authority found that the ERF</w:t>
          </w:r>
          <w:r w:rsidR="006905DA">
            <w:t>’s</w:t>
          </w:r>
          <w:r w:rsidRPr="005206CA" w:rsidDel="006905DA">
            <w:t xml:space="preserve"> </w:t>
          </w:r>
          <w:r w:rsidRPr="005206CA">
            <w:t xml:space="preserve">administrative costs stack up well when benchmarked against similar government initiatives. </w:t>
          </w:r>
        </w:p>
        <w:p w14:paraId="0B821AE4" w14:textId="77777777" w:rsidR="00A00970" w:rsidRPr="005206CA" w:rsidRDefault="00A00970" w:rsidP="00A00970">
          <w:r w:rsidRPr="005206CA">
            <w:t>The Authority considered whether the CER has sufficient tools to facilitate smooth administration. The Authority recommends legislative change so that the CER can issue</w:t>
          </w:r>
          <w:r w:rsidR="00A91166" w:rsidRPr="005206CA">
            <w:t xml:space="preserve"> penalty infringement notices </w:t>
          </w:r>
          <w:r w:rsidR="00AC35E8" w:rsidRPr="005206CA">
            <w:t xml:space="preserve">similar to </w:t>
          </w:r>
          <w:r w:rsidRPr="005206CA">
            <w:t>fines for lower level infringements rather than seeking remedies in the courts and to clarify that administrative decisions can be reversed in cases where the original decision was based on incorrect information.</w:t>
          </w:r>
        </w:p>
        <w:p w14:paraId="194E62F7" w14:textId="77777777" w:rsidR="00A00970" w:rsidRPr="005206CA" w:rsidRDefault="00A00970" w:rsidP="002800B4">
          <w:pPr>
            <w:pStyle w:val="Heading2nonumber"/>
            <w:rPr>
              <w:b w:val="0"/>
            </w:rPr>
          </w:pPr>
          <w:bookmarkStart w:id="76" w:name="_Toc499051718"/>
          <w:bookmarkStart w:id="77" w:name="_Toc500251068"/>
          <w:bookmarkStart w:id="78" w:name="_Toc500251343"/>
          <w:bookmarkStart w:id="79" w:name="_Toc500253940"/>
          <w:bookmarkStart w:id="80" w:name="_Toc500401447"/>
          <w:bookmarkStart w:id="81" w:name="_Toc500490932"/>
          <w:bookmarkStart w:id="82" w:name="_Toc500512874"/>
          <w:bookmarkStart w:id="83" w:name="_Toc500514129"/>
          <w:bookmarkStart w:id="84" w:name="_Toc500516186"/>
          <w:r w:rsidRPr="005206CA">
            <w:t>Looking to the future</w:t>
          </w:r>
          <w:bookmarkEnd w:id="76"/>
          <w:bookmarkEnd w:id="77"/>
          <w:bookmarkEnd w:id="78"/>
          <w:bookmarkEnd w:id="79"/>
          <w:bookmarkEnd w:id="80"/>
          <w:bookmarkEnd w:id="81"/>
          <w:bookmarkEnd w:id="82"/>
          <w:bookmarkEnd w:id="83"/>
          <w:bookmarkEnd w:id="84"/>
        </w:p>
        <w:p w14:paraId="6F3751CE" w14:textId="77777777" w:rsidR="00A00970" w:rsidRPr="005206CA" w:rsidRDefault="00A00970" w:rsidP="00A00970">
          <w:pPr>
            <w:rPr>
              <w:b/>
            </w:rPr>
          </w:pPr>
          <w:r w:rsidRPr="005206CA">
            <w:t xml:space="preserve">Overall, this review has found that the ERF is generally performing well. It has successfully incentivised new domestic abatement at low cost that will help contribute to Australia meeting its international </w:t>
          </w:r>
          <w:r w:rsidR="000F0CD2" w:rsidRPr="005206CA">
            <w:t xml:space="preserve">target </w:t>
          </w:r>
          <w:r w:rsidRPr="005206CA">
            <w:t>commitments. The ERF has effective compliance architecture that supports both the crediting and purchasing arms of the measure.</w:t>
          </w:r>
        </w:p>
        <w:p w14:paraId="384A2EE4" w14:textId="77777777" w:rsidR="00A00970" w:rsidRPr="005206CA" w:rsidRDefault="00A00970" w:rsidP="00A00970">
          <w:r w:rsidRPr="005206CA">
            <w:t>This is no small feat. Establishing a robust approach to emissions reduction offsets is challenging given the complex blend of policy, administrative judgement and technical emissions estimation that is required as well as the need for timely and efficient client service.</w:t>
          </w:r>
        </w:p>
        <w:p w14:paraId="10F5BFC4" w14:textId="5274DEE1" w:rsidR="00A00970" w:rsidRPr="005206CA" w:rsidRDefault="00A00970" w:rsidP="00A00970">
          <w:r w:rsidRPr="005206CA">
            <w:t>The Authority remains of the view that ERF purchasing will need to perform less of Australia’s emissions reduction task over time and that other policies will need to take up the challenge of decarbonising Australia’s economy</w:t>
          </w:r>
          <w:r w:rsidR="00EF5759" w:rsidRPr="005206CA">
            <w:t xml:space="preserve"> and deliver structural change</w:t>
          </w:r>
          <w:r w:rsidRPr="005206CA">
            <w:t>. That said, the investment by both Government and the private sector in offsets through the C</w:t>
          </w:r>
          <w:r w:rsidR="00C87C48" w:rsidRPr="005206CA">
            <w:t>arbon Farming Initiative</w:t>
          </w:r>
          <w:r w:rsidRPr="005206CA">
            <w:t xml:space="preserve"> and now the ERF should be built on as part of the policy tool kit Australia needs to meet its Paris </w:t>
          </w:r>
          <w:r w:rsidR="003D3209">
            <w:t xml:space="preserve">Agreement </w:t>
          </w:r>
          <w:r w:rsidRPr="005206CA">
            <w:t xml:space="preserve">goals. </w:t>
          </w:r>
        </w:p>
        <w:p w14:paraId="3ECA7B00" w14:textId="77777777" w:rsidR="00CB0A88" w:rsidRPr="005206CA" w:rsidRDefault="00CB0A88">
          <w:pPr>
            <w:spacing w:after="0" w:line="240" w:lineRule="auto"/>
            <w:rPr>
              <w:lang w:val="en-US"/>
            </w:rPr>
          </w:pPr>
          <w:r w:rsidRPr="005206CA">
            <w:rPr>
              <w:lang w:val="en-US"/>
            </w:rPr>
            <w:br w:type="page"/>
          </w:r>
        </w:p>
        <w:p w14:paraId="78DD7CB3" w14:textId="77777777" w:rsidR="00CB0A88" w:rsidRPr="005206CA" w:rsidRDefault="00CB0A88" w:rsidP="00CB0A88">
          <w:pPr>
            <w:pStyle w:val="Heading1nonumber"/>
          </w:pPr>
          <w:bookmarkStart w:id="85" w:name="_Toc498691512"/>
          <w:bookmarkStart w:id="86" w:name="_Toc499043693"/>
          <w:bookmarkStart w:id="87" w:name="_Toc499051719"/>
          <w:bookmarkStart w:id="88" w:name="_Toc500251069"/>
          <w:bookmarkStart w:id="89" w:name="_Toc500251344"/>
          <w:bookmarkStart w:id="90" w:name="_Toc500253941"/>
          <w:bookmarkStart w:id="91" w:name="_Toc500401448"/>
          <w:bookmarkStart w:id="92" w:name="_Toc500490933"/>
          <w:bookmarkStart w:id="93" w:name="_Toc500512875"/>
          <w:bookmarkStart w:id="94" w:name="_Toc500514130"/>
          <w:bookmarkStart w:id="95" w:name="_Toc500516187"/>
          <w:r w:rsidRPr="005206CA">
            <w:t>List of recommendations</w:t>
          </w:r>
          <w:bookmarkEnd w:id="85"/>
          <w:bookmarkEnd w:id="86"/>
          <w:bookmarkEnd w:id="87"/>
          <w:bookmarkEnd w:id="88"/>
          <w:bookmarkEnd w:id="89"/>
          <w:bookmarkEnd w:id="90"/>
          <w:bookmarkEnd w:id="91"/>
          <w:bookmarkEnd w:id="92"/>
          <w:bookmarkEnd w:id="93"/>
          <w:bookmarkEnd w:id="94"/>
          <w:bookmarkEnd w:id="95"/>
        </w:p>
        <w:p w14:paraId="01D1C3A6" w14:textId="5882C78E" w:rsidR="00376D4B" w:rsidRPr="005206CA" w:rsidRDefault="00F35596" w:rsidP="00E55312">
          <w:pPr>
            <w:rPr>
              <w:sz w:val="21"/>
            </w:rPr>
          </w:pPr>
          <w:r w:rsidRPr="005206CA">
            <w:rPr>
              <w:sz w:val="21"/>
            </w:rPr>
            <w:t>The Climate Change Authority recommends that:</w:t>
          </w:r>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737"/>
            <w:gridCol w:w="7937"/>
          </w:tblGrid>
          <w:tr w:rsidR="00FD4E44" w:rsidRPr="005206CA" w14:paraId="015AD507" w14:textId="50FB8131" w:rsidTr="00FD4E44">
            <w:trPr>
              <w:cnfStyle w:val="100000000000" w:firstRow="1" w:lastRow="0" w:firstColumn="0" w:lastColumn="0" w:oddVBand="0" w:evenVBand="0" w:oddHBand="0" w:evenHBand="0" w:firstRowFirstColumn="0" w:firstRowLastColumn="0" w:lastRowFirstColumn="0" w:lastRowLastColumn="0"/>
              <w:trHeight w:val="227"/>
            </w:trPr>
            <w:tc>
              <w:tcPr>
                <w:tcW w:w="737" w:type="dxa"/>
                <w:tcMar>
                  <w:top w:w="142" w:type="dxa"/>
                  <w:bottom w:w="142" w:type="dxa"/>
                </w:tcMar>
              </w:tcPr>
              <w:p w14:paraId="33F3DFC6" w14:textId="722F9D8D"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_Ref497827503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w:t>
                </w:r>
                <w:r w:rsidRPr="00C46FD5">
                  <w:rPr>
                    <w:b/>
                    <w:sz w:val="16"/>
                    <w:szCs w:val="16"/>
                  </w:rPr>
                  <w:fldChar w:fldCharType="end"/>
                </w:r>
              </w:p>
            </w:tc>
            <w:tc>
              <w:tcPr>
                <w:tcW w:w="7937" w:type="dxa"/>
                <w:tcMar>
                  <w:top w:w="142" w:type="dxa"/>
                  <w:bottom w:w="142" w:type="dxa"/>
                </w:tcMar>
              </w:tcPr>
              <w:p w14:paraId="2DDC8EB1" w14:textId="6413DB56" w:rsidR="00FD4E44" w:rsidRPr="005206CA" w:rsidRDefault="00FD4E44" w:rsidP="0016036A">
                <w:pPr>
                  <w:spacing w:after="0"/>
                  <w:rPr>
                    <w:sz w:val="16"/>
                    <w:szCs w:val="16"/>
                  </w:rPr>
                </w:pPr>
                <w:r w:rsidRPr="00C46FD5">
                  <w:rPr>
                    <w:sz w:val="16"/>
                    <w:szCs w:val="16"/>
                  </w:rPr>
                  <w:fldChar w:fldCharType="begin"/>
                </w:r>
                <w:r w:rsidRPr="00C46FD5">
                  <w:rPr>
                    <w:sz w:val="16"/>
                    <w:szCs w:val="16"/>
                  </w:rPr>
                  <w:instrText xml:space="preserve"> REF _Ref500236482 \h  \* MERGEFORMAT </w:instrText>
                </w:r>
                <w:r w:rsidRPr="00C46FD5">
                  <w:rPr>
                    <w:sz w:val="16"/>
                    <w:szCs w:val="16"/>
                  </w:rPr>
                </w:r>
                <w:r w:rsidRPr="00C46FD5">
                  <w:rPr>
                    <w:sz w:val="16"/>
                    <w:szCs w:val="16"/>
                  </w:rPr>
                  <w:fldChar w:fldCharType="separate"/>
                </w:r>
                <w:r w:rsidR="00FA2002" w:rsidRPr="00FA2002">
                  <w:rPr>
                    <w:sz w:val="16"/>
                    <w:szCs w:val="16"/>
                    <w:lang w:val="en-US"/>
                  </w:rPr>
                  <w:t>The Department establish a formal submission process so stakeholders can propose new Emissions Reduction Fund methods. Following assessment of stakeholder proposals by the Department, the Minister would publish priorities for method development every two years.</w:t>
                </w:r>
                <w:r w:rsidRPr="00C46FD5">
                  <w:rPr>
                    <w:sz w:val="16"/>
                    <w:szCs w:val="16"/>
                  </w:rPr>
                  <w:fldChar w:fldCharType="end"/>
                </w:r>
              </w:p>
            </w:tc>
          </w:tr>
          <w:tr w:rsidR="00FD4E44" w:rsidRPr="005206CA" w14:paraId="4B29BC2F" w14:textId="752550AC"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14AB0DEA" w14:textId="67F40555"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_Ref497827508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w:t>
                </w:r>
                <w:r w:rsidRPr="00C46FD5">
                  <w:rPr>
                    <w:b/>
                    <w:sz w:val="16"/>
                    <w:szCs w:val="16"/>
                  </w:rPr>
                  <w:fldChar w:fldCharType="end"/>
                </w:r>
              </w:p>
            </w:tc>
            <w:tc>
              <w:tcPr>
                <w:tcW w:w="7937" w:type="dxa"/>
                <w:tcMar>
                  <w:top w:w="142" w:type="dxa"/>
                  <w:bottom w:w="142" w:type="dxa"/>
                </w:tcMar>
              </w:tcPr>
              <w:p w14:paraId="01418F79" w14:textId="4339F5E9" w:rsidR="00FD4E44" w:rsidRPr="005206CA" w:rsidRDefault="00FD4E44" w:rsidP="0016036A">
                <w:pPr>
                  <w:spacing w:after="0"/>
                  <w:rPr>
                    <w:sz w:val="16"/>
                    <w:szCs w:val="16"/>
                  </w:rPr>
                </w:pPr>
                <w:r w:rsidRPr="00C46FD5">
                  <w:rPr>
                    <w:sz w:val="16"/>
                    <w:szCs w:val="16"/>
                  </w:rPr>
                  <w:fldChar w:fldCharType="begin"/>
                </w:r>
                <w:r w:rsidRPr="00C46FD5">
                  <w:rPr>
                    <w:sz w:val="16"/>
                    <w:szCs w:val="16"/>
                  </w:rPr>
                  <w:instrText xml:space="preserve"> REF _Ref500236649 \h  \* MERGEFORMAT </w:instrText>
                </w:r>
                <w:r w:rsidRPr="00C46FD5">
                  <w:rPr>
                    <w:sz w:val="16"/>
                    <w:szCs w:val="16"/>
                  </w:rPr>
                </w:r>
                <w:r w:rsidRPr="00C46FD5">
                  <w:rPr>
                    <w:sz w:val="16"/>
                    <w:szCs w:val="16"/>
                  </w:rPr>
                  <w:fldChar w:fldCharType="separate"/>
                </w:r>
                <w:r w:rsidR="00FA2002" w:rsidRPr="00FA2002">
                  <w:rPr>
                    <w:sz w:val="16"/>
                    <w:szCs w:val="16"/>
                  </w:rPr>
                  <w:t>The Emissions Reduction Assurance Committee work with the Department to develop guidance (in the form of a legislative rule) to clarify how the Emissions Reduction Assurance Committee will interpret the Emissions Reduction Fund’s offsets integrity standards.</w:t>
                </w:r>
                <w:r w:rsidRPr="00C46FD5">
                  <w:rPr>
                    <w:sz w:val="16"/>
                    <w:szCs w:val="16"/>
                  </w:rPr>
                  <w:fldChar w:fldCharType="end"/>
                </w:r>
              </w:p>
            </w:tc>
          </w:tr>
          <w:tr w:rsidR="00FD4E44" w:rsidRPr="005206CA" w14:paraId="008DE0C5" w14:textId="3BC8BBC5"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1B252125" w14:textId="6E560A57"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_Ref497827513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3</w:t>
                </w:r>
                <w:r w:rsidRPr="00C46FD5">
                  <w:rPr>
                    <w:b/>
                    <w:sz w:val="16"/>
                    <w:szCs w:val="16"/>
                  </w:rPr>
                  <w:fldChar w:fldCharType="end"/>
                </w:r>
              </w:p>
            </w:tc>
            <w:tc>
              <w:tcPr>
                <w:tcW w:w="7937" w:type="dxa"/>
                <w:tcMar>
                  <w:top w:w="142" w:type="dxa"/>
                  <w:bottom w:w="142" w:type="dxa"/>
                </w:tcMar>
              </w:tcPr>
              <w:p w14:paraId="7A754967" w14:textId="6AC7D9E5" w:rsidR="00FD4E44" w:rsidRPr="005206CA" w:rsidRDefault="00FD4E44" w:rsidP="0016036A">
                <w:pPr>
                  <w:spacing w:after="0"/>
                  <w:rPr>
                    <w:sz w:val="16"/>
                    <w:szCs w:val="16"/>
                  </w:rPr>
                </w:pPr>
                <w:r w:rsidRPr="00C46FD5">
                  <w:rPr>
                    <w:sz w:val="16"/>
                    <w:szCs w:val="16"/>
                  </w:rPr>
                  <w:fldChar w:fldCharType="begin"/>
                </w:r>
                <w:r w:rsidRPr="00C46FD5">
                  <w:rPr>
                    <w:sz w:val="16"/>
                    <w:szCs w:val="16"/>
                  </w:rPr>
                  <w:instrText xml:space="preserve"> REF _Ref500236674 \h  \* MERGEFORMAT </w:instrText>
                </w:r>
                <w:r w:rsidRPr="00C46FD5">
                  <w:rPr>
                    <w:sz w:val="16"/>
                    <w:szCs w:val="16"/>
                  </w:rPr>
                </w:r>
                <w:r w:rsidRPr="00C46FD5">
                  <w:rPr>
                    <w:sz w:val="16"/>
                    <w:szCs w:val="16"/>
                  </w:rPr>
                  <w:fldChar w:fldCharType="separate"/>
                </w:r>
                <w:r w:rsidR="00FA2002" w:rsidRPr="00FA2002">
                  <w:rPr>
                    <w:sz w:val="16"/>
                    <w:szCs w:val="16"/>
                  </w:rPr>
                  <w:t>Senior executive accountability for the Emissions Reduction Assurance Committee secretariat to be segregated from method development.</w:t>
                </w:r>
                <w:r w:rsidRPr="00C46FD5">
                  <w:rPr>
                    <w:sz w:val="16"/>
                    <w:szCs w:val="16"/>
                  </w:rPr>
                  <w:fldChar w:fldCharType="end"/>
                </w:r>
              </w:p>
            </w:tc>
          </w:tr>
          <w:tr w:rsidR="00FD4E44" w:rsidRPr="005206CA" w14:paraId="45AA1438" w14:textId="0B3A0E20"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5DF48BDA" w14:textId="4AA4801C"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_Ref497827523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4</w:t>
                </w:r>
                <w:r w:rsidRPr="00C46FD5">
                  <w:rPr>
                    <w:b/>
                    <w:sz w:val="16"/>
                    <w:szCs w:val="16"/>
                  </w:rPr>
                  <w:fldChar w:fldCharType="end"/>
                </w:r>
              </w:p>
            </w:tc>
            <w:tc>
              <w:tcPr>
                <w:tcW w:w="7937" w:type="dxa"/>
                <w:tcMar>
                  <w:top w:w="142" w:type="dxa"/>
                  <w:bottom w:w="142" w:type="dxa"/>
                </w:tcMar>
              </w:tcPr>
              <w:p w14:paraId="09A6236F" w14:textId="49D0BF00" w:rsidR="00FD4E44" w:rsidRPr="005206CA" w:rsidRDefault="00FD4E44" w:rsidP="0016036A">
                <w:pPr>
                  <w:spacing w:after="0"/>
                  <w:rPr>
                    <w:sz w:val="16"/>
                    <w:szCs w:val="16"/>
                  </w:rPr>
                </w:pPr>
                <w:r w:rsidRPr="00C46FD5">
                  <w:rPr>
                    <w:sz w:val="16"/>
                    <w:szCs w:val="16"/>
                  </w:rPr>
                  <w:fldChar w:fldCharType="begin"/>
                </w:r>
                <w:r w:rsidRPr="00C46FD5">
                  <w:rPr>
                    <w:sz w:val="16"/>
                    <w:szCs w:val="16"/>
                  </w:rPr>
                  <w:instrText xml:space="preserve"> REF _Ref500236678 \h  \* MERGEFORMAT </w:instrText>
                </w:r>
                <w:r w:rsidRPr="00C46FD5">
                  <w:rPr>
                    <w:sz w:val="16"/>
                    <w:szCs w:val="16"/>
                  </w:rPr>
                </w:r>
                <w:r w:rsidRPr="00C46FD5">
                  <w:rPr>
                    <w:sz w:val="16"/>
                    <w:szCs w:val="16"/>
                  </w:rPr>
                  <w:fldChar w:fldCharType="separate"/>
                </w:r>
                <w:r w:rsidR="00FA2002" w:rsidRPr="00FA2002">
                  <w:rPr>
                    <w:sz w:val="16"/>
                    <w:szCs w:val="16"/>
                    <w:lang w:val="en-US"/>
                  </w:rPr>
                  <w:t>The Minister</w:t>
                </w:r>
                <w:r w:rsidR="00FA2002" w:rsidRPr="00FA2002" w:rsidDel="00B72252">
                  <w:rPr>
                    <w:sz w:val="16"/>
                    <w:szCs w:val="16"/>
                    <w:lang w:val="en-US"/>
                  </w:rPr>
                  <w:t xml:space="preserve"> </w:t>
                </w:r>
                <w:r w:rsidR="00FA2002" w:rsidRPr="00FA2002">
                  <w:rPr>
                    <w:sz w:val="16"/>
                    <w:szCs w:val="16"/>
                    <w:lang w:val="en-US"/>
                  </w:rPr>
                  <w:t>make improvements to methods (in the form of variations) to maintain their alignment with the Emissions Reduction Fund’s offsets integrity standards. Variations should incorporate guidance on the most current emissions estimation techniques, tools and calculators including those used for the national inventory. Scheme participants must use the varied method and updated tools within two years of the varied method coming into force.</w:t>
                </w:r>
                <w:r w:rsidRPr="00C46FD5">
                  <w:rPr>
                    <w:sz w:val="16"/>
                    <w:szCs w:val="16"/>
                  </w:rPr>
                  <w:fldChar w:fldCharType="end"/>
                </w:r>
              </w:p>
            </w:tc>
          </w:tr>
          <w:tr w:rsidR="00FD4E44" w:rsidRPr="005206CA" w14:paraId="7BF9A7AD" w14:textId="3F8CBD2A"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28D67958" w14:textId="69449DCB"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_Ref497827610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5</w:t>
                </w:r>
                <w:r w:rsidRPr="00C46FD5">
                  <w:rPr>
                    <w:b/>
                    <w:sz w:val="16"/>
                    <w:szCs w:val="16"/>
                  </w:rPr>
                  <w:fldChar w:fldCharType="end"/>
                </w:r>
              </w:p>
            </w:tc>
            <w:tc>
              <w:tcPr>
                <w:tcW w:w="7937" w:type="dxa"/>
                <w:tcMar>
                  <w:top w:w="142" w:type="dxa"/>
                  <w:bottom w:w="142" w:type="dxa"/>
                </w:tcMar>
              </w:tcPr>
              <w:p w14:paraId="46F9E602" w14:textId="022BF7DA" w:rsidR="00FD4E44" w:rsidRPr="005206CA" w:rsidRDefault="00FD4E44" w:rsidP="0016036A">
                <w:pPr>
                  <w:spacing w:after="0"/>
                  <w:rPr>
                    <w:sz w:val="16"/>
                    <w:szCs w:val="16"/>
                  </w:rPr>
                </w:pPr>
                <w:r w:rsidRPr="00C46FD5">
                  <w:rPr>
                    <w:sz w:val="16"/>
                    <w:szCs w:val="16"/>
                  </w:rPr>
                  <w:fldChar w:fldCharType="begin"/>
                </w:r>
                <w:r w:rsidRPr="00C46FD5">
                  <w:rPr>
                    <w:sz w:val="16"/>
                    <w:szCs w:val="16"/>
                  </w:rPr>
                  <w:instrText xml:space="preserve"> REF _Ref500236695 \h  \* MERGEFORMAT </w:instrText>
                </w:r>
                <w:r w:rsidRPr="00C46FD5">
                  <w:rPr>
                    <w:sz w:val="16"/>
                    <w:szCs w:val="16"/>
                  </w:rPr>
                </w:r>
                <w:r w:rsidRPr="00C46FD5">
                  <w:rPr>
                    <w:sz w:val="16"/>
                    <w:szCs w:val="16"/>
                  </w:rPr>
                  <w:fldChar w:fldCharType="separate"/>
                </w:r>
                <w:r w:rsidR="00FA2002" w:rsidRPr="00FA2002">
                  <w:rPr>
                    <w:sz w:val="16"/>
                    <w:szCs w:val="16"/>
                    <w:lang w:val="en-US"/>
                  </w:rPr>
                  <w:t>As part of its method reviews, the Emissions Reduction Assurance Committee examine: i.) the measured soil method to assess its effectiveness in distinguishing between natural variability (rainfall) and management actions in crediting abatement from soil carbon ii.) estimation and project requirements for the human-induced regeneration method iii.) the native forest managed regrowth method to assess the additionality of project activities and baselines iv.) regulatory additionality baselines for the landfill gas method and v.) the additionality requirements for each method to see if they are still current given changes in technologies, practices and regulation for relevant activities and sectors when considering whether the method’s crediting periods should be extended.</w:t>
                </w:r>
                <w:r w:rsidRPr="00C46FD5">
                  <w:rPr>
                    <w:sz w:val="16"/>
                    <w:szCs w:val="16"/>
                  </w:rPr>
                  <w:fldChar w:fldCharType="end"/>
                </w:r>
              </w:p>
            </w:tc>
          </w:tr>
          <w:tr w:rsidR="00FD4E44" w:rsidRPr="005206CA" w14:paraId="3F61E74C" w14:textId="55DB5CB0"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3A28698" w14:textId="2A5BA2D0"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_Ref499897329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6</w:t>
                </w:r>
                <w:r w:rsidRPr="00C46FD5">
                  <w:rPr>
                    <w:b/>
                    <w:sz w:val="16"/>
                    <w:szCs w:val="16"/>
                  </w:rPr>
                  <w:fldChar w:fldCharType="end"/>
                </w:r>
              </w:p>
            </w:tc>
            <w:tc>
              <w:tcPr>
                <w:tcW w:w="7937" w:type="dxa"/>
                <w:tcMar>
                  <w:top w:w="142" w:type="dxa"/>
                  <w:bottom w:w="142" w:type="dxa"/>
                </w:tcMar>
              </w:tcPr>
              <w:p w14:paraId="7D123AAD" w14:textId="1E5C740D" w:rsidR="00FD4E44" w:rsidRPr="00FF1F9C" w:rsidRDefault="00FD4E44" w:rsidP="0016036A">
                <w:pPr>
                  <w:spacing w:after="0"/>
                  <w:rPr>
                    <w:sz w:val="16"/>
                    <w:szCs w:val="16"/>
                  </w:rPr>
                </w:pPr>
                <w:r w:rsidRPr="00FF1F9C">
                  <w:rPr>
                    <w:sz w:val="16"/>
                    <w:szCs w:val="16"/>
                  </w:rPr>
                  <w:fldChar w:fldCharType="begin"/>
                </w:r>
                <w:r w:rsidRPr="00FF1F9C">
                  <w:rPr>
                    <w:sz w:val="16"/>
                    <w:szCs w:val="16"/>
                  </w:rPr>
                  <w:instrText xml:space="preserve"> REF _Ref500236699 \h  \* MERGEFORMAT </w:instrText>
                </w:r>
                <w:r w:rsidRPr="00FF1F9C">
                  <w:rPr>
                    <w:sz w:val="16"/>
                    <w:szCs w:val="16"/>
                  </w:rPr>
                </w:r>
                <w:r w:rsidRPr="00FF1F9C">
                  <w:rPr>
                    <w:sz w:val="16"/>
                    <w:szCs w:val="16"/>
                  </w:rPr>
                  <w:fldChar w:fldCharType="separate"/>
                </w:r>
                <w:r w:rsidR="00FA2002" w:rsidRPr="00FA2002">
                  <w:rPr>
                    <w:sz w:val="16"/>
                    <w:szCs w:val="16"/>
                  </w:rPr>
                  <w:t>The Minister make a legislative rule requiring scheme participants to provide the Clean Energy Regulator with</w:t>
                </w:r>
                <w:r w:rsidR="00FA2002" w:rsidRPr="00FA2002" w:rsidDel="00724E24">
                  <w:rPr>
                    <w:sz w:val="16"/>
                    <w:szCs w:val="16"/>
                  </w:rPr>
                  <w:t xml:space="preserve"> a plan for maintaining carbon stores during the permanence period when registering sequestration projects.</w:t>
                </w:r>
                <w:r w:rsidRPr="00FF1F9C">
                  <w:rPr>
                    <w:sz w:val="16"/>
                    <w:szCs w:val="16"/>
                  </w:rPr>
                  <w:fldChar w:fldCharType="end"/>
                </w:r>
              </w:p>
            </w:tc>
          </w:tr>
          <w:tr w:rsidR="00FD4E44" w:rsidRPr="005206CA" w14:paraId="3D1DE25C" w14:textId="708EDA9B"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29F3308B" w14:textId="445F08FF"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_Ref497827629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7</w:t>
                </w:r>
                <w:r w:rsidRPr="00C46FD5">
                  <w:rPr>
                    <w:b/>
                    <w:sz w:val="16"/>
                    <w:szCs w:val="16"/>
                  </w:rPr>
                  <w:fldChar w:fldCharType="end"/>
                </w:r>
              </w:p>
            </w:tc>
            <w:tc>
              <w:tcPr>
                <w:tcW w:w="7937" w:type="dxa"/>
                <w:tcMar>
                  <w:top w:w="142" w:type="dxa"/>
                  <w:bottom w:w="142" w:type="dxa"/>
                </w:tcMar>
              </w:tcPr>
              <w:p w14:paraId="719A077B" w14:textId="1022F905"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_Ref500236818 \h  \* MERGEFORMAT </w:instrText>
                </w:r>
                <w:r w:rsidRPr="005206CA">
                  <w:rPr>
                    <w:sz w:val="16"/>
                    <w:szCs w:val="16"/>
                  </w:rPr>
                </w:r>
                <w:r w:rsidRPr="005206CA">
                  <w:rPr>
                    <w:sz w:val="16"/>
                    <w:szCs w:val="16"/>
                  </w:rPr>
                  <w:fldChar w:fldCharType="separate"/>
                </w:r>
                <w:r w:rsidR="00FA2002" w:rsidRPr="00FA2002">
                  <w:rPr>
                    <w:rFonts w:cs="Arial"/>
                    <w:sz w:val="16"/>
                    <w:szCs w:val="16"/>
                  </w:rPr>
                  <w:t xml:space="preserve">The Clean Energy Regulator require scheme participants to provide fire </w:t>
                </w:r>
                <w:r w:rsidR="00FA2002" w:rsidRPr="00FA2002">
                  <w:rPr>
                    <w:sz w:val="16"/>
                    <w:szCs w:val="16"/>
                  </w:rPr>
                  <w:t>management plans for sequestration and savanna fire projects. These plans could be the same as those required to meet state or local fire management requirements.</w:t>
                </w:r>
                <w:r w:rsidRPr="005206CA">
                  <w:rPr>
                    <w:sz w:val="16"/>
                    <w:szCs w:val="16"/>
                  </w:rPr>
                  <w:fldChar w:fldCharType="end"/>
                </w:r>
              </w:p>
            </w:tc>
          </w:tr>
          <w:tr w:rsidR="00FD4E44" w:rsidRPr="005206CA" w14:paraId="6FC17F41" w14:textId="72DD530D"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E81B3D2" w14:textId="35C12F9B"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_Ref497827637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8</w:t>
                </w:r>
                <w:r w:rsidRPr="00C46FD5">
                  <w:rPr>
                    <w:b/>
                    <w:sz w:val="16"/>
                    <w:szCs w:val="16"/>
                  </w:rPr>
                  <w:fldChar w:fldCharType="end"/>
                </w:r>
              </w:p>
            </w:tc>
            <w:tc>
              <w:tcPr>
                <w:tcW w:w="7937" w:type="dxa"/>
                <w:tcMar>
                  <w:top w:w="142" w:type="dxa"/>
                  <w:bottom w:w="142" w:type="dxa"/>
                </w:tcMar>
              </w:tcPr>
              <w:p w14:paraId="10DC554F" w14:textId="4F4C0D86"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_Ref500236824 \h  \* MERGEFORMAT </w:instrText>
                </w:r>
                <w:r w:rsidRPr="005206CA">
                  <w:rPr>
                    <w:sz w:val="16"/>
                    <w:szCs w:val="16"/>
                  </w:rPr>
                </w:r>
                <w:r w:rsidRPr="005206CA">
                  <w:rPr>
                    <w:sz w:val="16"/>
                    <w:szCs w:val="16"/>
                  </w:rPr>
                  <w:fldChar w:fldCharType="separate"/>
                </w:r>
                <w:r w:rsidR="00FA2002" w:rsidRPr="00FA2002">
                  <w:rPr>
                    <w:sz w:val="16"/>
                    <w:szCs w:val="16"/>
                  </w:rPr>
                  <w:t>The Department review the definition of a significant reversal of carbon stored to ensure it is calibrated to the risk of carbon losses across</w:t>
                </w:r>
                <w:r w:rsidR="00FA2002" w:rsidRPr="005206CA">
                  <w:rPr>
                    <w:sz w:val="18"/>
                    <w:szCs w:val="18"/>
                  </w:rPr>
                  <w:t xml:space="preserve"> </w:t>
                </w:r>
                <w:r w:rsidR="00FA2002" w:rsidRPr="00FA2002">
                  <w:rPr>
                    <w:sz w:val="16"/>
                    <w:szCs w:val="16"/>
                  </w:rPr>
                  <w:t>the scheme.</w:t>
                </w:r>
                <w:r w:rsidRPr="005206CA">
                  <w:rPr>
                    <w:sz w:val="16"/>
                    <w:szCs w:val="16"/>
                  </w:rPr>
                  <w:fldChar w:fldCharType="end"/>
                </w:r>
              </w:p>
            </w:tc>
          </w:tr>
          <w:tr w:rsidR="00FD4E44" w:rsidRPr="005206CA" w14:paraId="06B031A4" w14:textId="33FF7B51"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6D3BCC5C" w14:textId="72CEE11A"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_Ref497827642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9</w:t>
                </w:r>
                <w:r w:rsidRPr="00C46FD5">
                  <w:rPr>
                    <w:b/>
                    <w:sz w:val="16"/>
                    <w:szCs w:val="16"/>
                  </w:rPr>
                  <w:fldChar w:fldCharType="end"/>
                </w:r>
              </w:p>
            </w:tc>
            <w:tc>
              <w:tcPr>
                <w:tcW w:w="7937" w:type="dxa"/>
                <w:tcMar>
                  <w:top w:w="142" w:type="dxa"/>
                  <w:bottom w:w="142" w:type="dxa"/>
                </w:tcMar>
              </w:tcPr>
              <w:p w14:paraId="2A1BC70E" w14:textId="57A3D9EA"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_Ref500236827 \h  \* MERGEFORMAT </w:instrText>
                </w:r>
                <w:r w:rsidRPr="005206CA">
                  <w:rPr>
                    <w:sz w:val="16"/>
                    <w:szCs w:val="16"/>
                  </w:rPr>
                </w:r>
                <w:r w:rsidRPr="005206CA">
                  <w:rPr>
                    <w:sz w:val="16"/>
                    <w:szCs w:val="16"/>
                  </w:rPr>
                  <w:fldChar w:fldCharType="separate"/>
                </w:r>
                <w:r w:rsidR="00FA2002" w:rsidRPr="00FA2002">
                  <w:rPr>
                    <w:sz w:val="16"/>
                    <w:szCs w:val="16"/>
                  </w:rPr>
                  <w:t xml:space="preserve">The </w:t>
                </w:r>
                <w:r w:rsidR="00FA2002" w:rsidRPr="00FA2002">
                  <w:rPr>
                    <w:i/>
                    <w:sz w:val="16"/>
                    <w:szCs w:val="16"/>
                  </w:rPr>
                  <w:t>Carbon Credits (Carbon Farming Initiative) Act 2011</w:t>
                </w:r>
                <w:r w:rsidR="00FA2002" w:rsidRPr="00FA2002">
                  <w:rPr>
                    <w:sz w:val="16"/>
                    <w:szCs w:val="16"/>
                  </w:rPr>
                  <w:t xml:space="preserve"> (Cth) be amended to remove the ability for a scheme participant to request that the project area be omitted from the project register for new projects.</w:t>
                </w:r>
                <w:r w:rsidRPr="005206CA">
                  <w:rPr>
                    <w:sz w:val="16"/>
                    <w:szCs w:val="16"/>
                  </w:rPr>
                  <w:fldChar w:fldCharType="end"/>
                </w:r>
              </w:p>
            </w:tc>
          </w:tr>
          <w:tr w:rsidR="00FD4E44" w:rsidRPr="005206CA" w14:paraId="317337FA" w14:textId="67181984"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06D13FB" w14:textId="45542334"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_Ref497827646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10</w:t>
                </w:r>
                <w:r w:rsidRPr="00C46FD5">
                  <w:rPr>
                    <w:b/>
                    <w:sz w:val="16"/>
                    <w:szCs w:val="16"/>
                  </w:rPr>
                  <w:fldChar w:fldCharType="end"/>
                </w:r>
              </w:p>
            </w:tc>
            <w:tc>
              <w:tcPr>
                <w:tcW w:w="7937" w:type="dxa"/>
                <w:tcMar>
                  <w:top w:w="142" w:type="dxa"/>
                  <w:bottom w:w="142" w:type="dxa"/>
                </w:tcMar>
              </w:tcPr>
              <w:p w14:paraId="63A44EE3" w14:textId="2C2903A2"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_Ref500236830 \h  \* MERGEFORMAT </w:instrText>
                </w:r>
                <w:r w:rsidRPr="005206CA">
                  <w:rPr>
                    <w:sz w:val="16"/>
                    <w:szCs w:val="16"/>
                  </w:rPr>
                </w:r>
                <w:r w:rsidRPr="005206CA">
                  <w:rPr>
                    <w:sz w:val="16"/>
                    <w:szCs w:val="16"/>
                  </w:rPr>
                  <w:fldChar w:fldCharType="separate"/>
                </w:r>
                <w:r w:rsidR="00FA2002" w:rsidRPr="00FA2002">
                  <w:rPr>
                    <w:sz w:val="16"/>
                    <w:szCs w:val="16"/>
                  </w:rPr>
                  <w:t>The Clean Energy Regulator include on their website a search function that allows potential land buyers or other eligible interest holders to search for individual properties and determine if the land is subject to Emissions Reduction Fund permanence obligations.</w:t>
                </w:r>
                <w:r w:rsidRPr="005206CA">
                  <w:rPr>
                    <w:sz w:val="16"/>
                    <w:szCs w:val="16"/>
                  </w:rPr>
                  <w:fldChar w:fldCharType="end"/>
                </w:r>
              </w:p>
            </w:tc>
          </w:tr>
          <w:tr w:rsidR="00FD4E44" w:rsidRPr="005206CA" w14:paraId="342F8B0F" w14:textId="790E70F4"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2C373FAC" w14:textId="280852EB"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_Ref497827901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11</w:t>
                </w:r>
                <w:r w:rsidRPr="00C46FD5">
                  <w:rPr>
                    <w:b/>
                    <w:sz w:val="16"/>
                    <w:szCs w:val="16"/>
                  </w:rPr>
                  <w:fldChar w:fldCharType="end"/>
                </w:r>
              </w:p>
            </w:tc>
            <w:tc>
              <w:tcPr>
                <w:tcW w:w="7937" w:type="dxa"/>
                <w:tcMar>
                  <w:top w:w="142" w:type="dxa"/>
                  <w:bottom w:w="142" w:type="dxa"/>
                </w:tcMar>
              </w:tcPr>
              <w:p w14:paraId="5E9278C2" w14:textId="5C6337F9"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_Ref500236833 \h  \* MERGEFORMAT </w:instrText>
                </w:r>
                <w:r w:rsidRPr="005206CA">
                  <w:rPr>
                    <w:sz w:val="16"/>
                    <w:szCs w:val="16"/>
                  </w:rPr>
                </w:r>
                <w:r w:rsidRPr="005206CA">
                  <w:rPr>
                    <w:sz w:val="16"/>
                    <w:szCs w:val="16"/>
                  </w:rPr>
                  <w:fldChar w:fldCharType="separate"/>
                </w:r>
                <w:r w:rsidR="00FA2002" w:rsidRPr="00FA2002">
                  <w:rPr>
                    <w:sz w:val="16"/>
                    <w:szCs w:val="16"/>
                  </w:rPr>
                  <w:t>The Clean Energy Regulator develop guidance for conveyancers and state and territory legal societies on permanence obligations that run with the land.</w:t>
                </w:r>
                <w:r w:rsidRPr="005206CA">
                  <w:rPr>
                    <w:sz w:val="16"/>
                    <w:szCs w:val="16"/>
                  </w:rPr>
                  <w:fldChar w:fldCharType="end"/>
                </w:r>
              </w:p>
            </w:tc>
          </w:tr>
          <w:tr w:rsidR="00FD4E44" w:rsidRPr="005206CA" w14:paraId="7E114B6D" w14:textId="17ABC87F"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1EF69D76" w14:textId="42D1F1FA"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_Ref497827914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12</w:t>
                </w:r>
                <w:r w:rsidRPr="00C46FD5">
                  <w:rPr>
                    <w:b/>
                    <w:sz w:val="16"/>
                    <w:szCs w:val="16"/>
                  </w:rPr>
                  <w:fldChar w:fldCharType="end"/>
                </w:r>
              </w:p>
            </w:tc>
            <w:tc>
              <w:tcPr>
                <w:tcW w:w="7937" w:type="dxa"/>
                <w:tcMar>
                  <w:top w:w="142" w:type="dxa"/>
                  <w:bottom w:w="142" w:type="dxa"/>
                </w:tcMar>
              </w:tcPr>
              <w:p w14:paraId="760377A1" w14:textId="69AF6AAD"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_Ref500236836 \h  \* MERGEFORMAT </w:instrText>
                </w:r>
                <w:r w:rsidRPr="005206CA">
                  <w:rPr>
                    <w:sz w:val="16"/>
                    <w:szCs w:val="16"/>
                  </w:rPr>
                </w:r>
                <w:r w:rsidRPr="005206CA">
                  <w:rPr>
                    <w:sz w:val="16"/>
                    <w:szCs w:val="16"/>
                  </w:rPr>
                  <w:fldChar w:fldCharType="separate"/>
                </w:r>
                <w:r w:rsidR="00FA2002" w:rsidRPr="00FA2002">
                  <w:rPr>
                    <w:sz w:val="16"/>
                    <w:szCs w:val="16"/>
                    <w:lang w:val="en-US"/>
                  </w:rPr>
                  <w:t>The Authority</w:t>
                </w:r>
                <w:r w:rsidR="00FA2002" w:rsidRPr="00FA2002" w:rsidDel="009D136D">
                  <w:rPr>
                    <w:sz w:val="16"/>
                    <w:szCs w:val="16"/>
                    <w:lang w:val="en-US"/>
                  </w:rPr>
                  <w:t xml:space="preserve"> </w:t>
                </w:r>
                <w:r w:rsidR="00FA2002" w:rsidRPr="00FA2002">
                  <w:rPr>
                    <w:sz w:val="16"/>
                    <w:szCs w:val="16"/>
                    <w:lang w:val="en-US"/>
                  </w:rPr>
                  <w:t>review in every second review of the Carbon Farming Initiative legislation the risk of reversal buffer and the 25 year permanence discount to determine whether these discounts are calibrated to potential losses of carbon, based on evidence of actual losses of carbon in the Emissions Reduction Fund.</w:t>
                </w:r>
                <w:r w:rsidRPr="005206CA">
                  <w:rPr>
                    <w:sz w:val="16"/>
                    <w:szCs w:val="16"/>
                  </w:rPr>
                  <w:fldChar w:fldCharType="end"/>
                </w:r>
              </w:p>
            </w:tc>
          </w:tr>
          <w:tr w:rsidR="00FD4E44" w:rsidRPr="005206CA" w14:paraId="4BE905C9" w14:textId="614B29F1"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7887A32F" w14:textId="4D6944EB"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_Ref497827920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13</w:t>
                </w:r>
                <w:r w:rsidRPr="00C46FD5">
                  <w:rPr>
                    <w:b/>
                    <w:sz w:val="16"/>
                    <w:szCs w:val="16"/>
                  </w:rPr>
                  <w:fldChar w:fldCharType="end"/>
                </w:r>
              </w:p>
            </w:tc>
            <w:tc>
              <w:tcPr>
                <w:tcW w:w="7937" w:type="dxa"/>
                <w:tcMar>
                  <w:top w:w="142" w:type="dxa"/>
                  <w:bottom w:w="142" w:type="dxa"/>
                </w:tcMar>
              </w:tcPr>
              <w:p w14:paraId="068C3565" w14:textId="57C6477B"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_Ref500236840 \h  \* MERGEFORMAT </w:instrText>
                </w:r>
                <w:r w:rsidRPr="005206CA">
                  <w:rPr>
                    <w:sz w:val="16"/>
                    <w:szCs w:val="16"/>
                  </w:rPr>
                </w:r>
                <w:r w:rsidRPr="005206CA">
                  <w:rPr>
                    <w:sz w:val="16"/>
                    <w:szCs w:val="16"/>
                  </w:rPr>
                  <w:fldChar w:fldCharType="separate"/>
                </w:r>
                <w:r w:rsidR="00FA2002" w:rsidRPr="00FA2002">
                  <w:rPr>
                    <w:sz w:val="16"/>
                    <w:szCs w:val="16"/>
                  </w:rPr>
                  <w:t>Scheme participants advise the Clean Energy Regulator of individuals and firms they paid to provide advice on the Emissions Reduction Fund when new projects are registered and updated in project reports.</w:t>
                </w:r>
                <w:r w:rsidRPr="005206CA">
                  <w:rPr>
                    <w:sz w:val="16"/>
                    <w:szCs w:val="16"/>
                  </w:rPr>
                  <w:fldChar w:fldCharType="end"/>
                </w:r>
              </w:p>
            </w:tc>
          </w:tr>
          <w:tr w:rsidR="00FD4E44" w:rsidRPr="005206CA" w14:paraId="0B1C9867" w14:textId="7FD85897"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458FBC4C" w14:textId="5FF650F9"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_Ref497827929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14</w:t>
                </w:r>
                <w:r w:rsidRPr="00C46FD5">
                  <w:rPr>
                    <w:b/>
                    <w:sz w:val="16"/>
                    <w:szCs w:val="16"/>
                  </w:rPr>
                  <w:fldChar w:fldCharType="end"/>
                </w:r>
              </w:p>
            </w:tc>
            <w:tc>
              <w:tcPr>
                <w:tcW w:w="7937" w:type="dxa"/>
                <w:tcMar>
                  <w:top w:w="142" w:type="dxa"/>
                  <w:bottom w:w="142" w:type="dxa"/>
                </w:tcMar>
              </w:tcPr>
              <w:p w14:paraId="36378601" w14:textId="6E1EBF15"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_Ref500236844 \h  \* MERGEFORMAT </w:instrText>
                </w:r>
                <w:r w:rsidRPr="005206CA">
                  <w:rPr>
                    <w:sz w:val="16"/>
                    <w:szCs w:val="16"/>
                  </w:rPr>
                </w:r>
                <w:r w:rsidRPr="005206CA">
                  <w:rPr>
                    <w:sz w:val="16"/>
                    <w:szCs w:val="16"/>
                  </w:rPr>
                  <w:fldChar w:fldCharType="separate"/>
                </w:r>
                <w:r w:rsidR="00FA2002" w:rsidRPr="00FA2002">
                  <w:rPr>
                    <w:sz w:val="16"/>
                    <w:szCs w:val="16"/>
                  </w:rPr>
                  <w:t xml:space="preserve">The </w:t>
                </w:r>
                <w:r w:rsidR="00FA2002" w:rsidRPr="00FA2002">
                  <w:rPr>
                    <w:i/>
                    <w:sz w:val="16"/>
                    <w:szCs w:val="16"/>
                  </w:rPr>
                  <w:t>Carbon Credits (Carbon Farming Initiative) Act 2011</w:t>
                </w:r>
                <w:r w:rsidR="00FA2002" w:rsidRPr="00FA2002">
                  <w:rPr>
                    <w:sz w:val="16"/>
                    <w:szCs w:val="16"/>
                  </w:rPr>
                  <w:t xml:space="preserve"> (Cth) be amended so that the Fit and Proper Person requirement is extended to designated agents that act for scheme participants.</w:t>
                </w:r>
                <w:r w:rsidRPr="005206CA">
                  <w:rPr>
                    <w:sz w:val="16"/>
                    <w:szCs w:val="16"/>
                  </w:rPr>
                  <w:fldChar w:fldCharType="end"/>
                </w:r>
              </w:p>
            </w:tc>
          </w:tr>
          <w:tr w:rsidR="00FD4E44" w:rsidRPr="005206CA" w14:paraId="3AF2179D" w14:textId="37A43DA9"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630F5832" w14:textId="7D92D45D"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_Ref497828164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15</w:t>
                </w:r>
                <w:r w:rsidRPr="00C46FD5">
                  <w:rPr>
                    <w:b/>
                    <w:sz w:val="16"/>
                    <w:szCs w:val="16"/>
                  </w:rPr>
                  <w:fldChar w:fldCharType="end"/>
                </w:r>
              </w:p>
            </w:tc>
            <w:tc>
              <w:tcPr>
                <w:tcW w:w="7937" w:type="dxa"/>
                <w:tcMar>
                  <w:top w:w="142" w:type="dxa"/>
                  <w:bottom w:w="142" w:type="dxa"/>
                </w:tcMar>
              </w:tcPr>
              <w:p w14:paraId="5EB75984" w14:textId="1DF46614"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_Ref500236847 \h  \* MERGEFORMAT </w:instrText>
                </w:r>
                <w:r w:rsidRPr="005206CA">
                  <w:rPr>
                    <w:sz w:val="16"/>
                    <w:szCs w:val="16"/>
                  </w:rPr>
                </w:r>
                <w:r w:rsidRPr="005206CA">
                  <w:rPr>
                    <w:sz w:val="16"/>
                    <w:szCs w:val="16"/>
                  </w:rPr>
                  <w:fldChar w:fldCharType="separate"/>
                </w:r>
                <w:r w:rsidR="00FA2002" w:rsidRPr="00FA2002">
                  <w:rPr>
                    <w:sz w:val="16"/>
                    <w:szCs w:val="16"/>
                  </w:rPr>
                  <w:t>The Clean Energy Regulator require a declaration from landholders that they have read the Department’s aggregation agreement resources prior to scheme participants registering a project that involves multiple landholders.</w:t>
                </w:r>
                <w:r w:rsidRPr="005206CA">
                  <w:rPr>
                    <w:sz w:val="16"/>
                    <w:szCs w:val="16"/>
                  </w:rPr>
                  <w:fldChar w:fldCharType="end"/>
                </w:r>
              </w:p>
            </w:tc>
          </w:tr>
          <w:tr w:rsidR="00FD4E44" w:rsidRPr="005206CA" w14:paraId="1797DE74" w14:textId="73FC4B90"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7480A2C5" w14:textId="51D73211"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_Ref499897479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16</w:t>
                </w:r>
                <w:r w:rsidRPr="00C46FD5">
                  <w:rPr>
                    <w:b/>
                    <w:sz w:val="16"/>
                    <w:szCs w:val="16"/>
                  </w:rPr>
                  <w:fldChar w:fldCharType="end"/>
                </w:r>
              </w:p>
            </w:tc>
            <w:tc>
              <w:tcPr>
                <w:tcW w:w="7937" w:type="dxa"/>
                <w:tcMar>
                  <w:top w:w="142" w:type="dxa"/>
                  <w:bottom w:w="142" w:type="dxa"/>
                </w:tcMar>
              </w:tcPr>
              <w:p w14:paraId="05F15D60" w14:textId="4F3371FF"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_Ref500236857 \h  \* MERGEFORMAT </w:instrText>
                </w:r>
                <w:r w:rsidRPr="005206CA">
                  <w:rPr>
                    <w:sz w:val="16"/>
                    <w:szCs w:val="16"/>
                  </w:rPr>
                </w:r>
                <w:r w:rsidRPr="005206CA">
                  <w:rPr>
                    <w:sz w:val="16"/>
                    <w:szCs w:val="16"/>
                  </w:rPr>
                  <w:fldChar w:fldCharType="separate"/>
                </w:r>
                <w:r w:rsidR="00FA2002" w:rsidRPr="00FA2002">
                  <w:rPr>
                    <w:rFonts w:cs="Arial"/>
                    <w:sz w:val="16"/>
                    <w:szCs w:val="16"/>
                  </w:rPr>
                  <w:t xml:space="preserve">Some </w:t>
                </w:r>
                <w:r w:rsidR="00FA2002" w:rsidRPr="00FA2002">
                  <w:rPr>
                    <w:sz w:val="16"/>
                    <w:szCs w:val="16"/>
                  </w:rPr>
                  <w:t>industry bodies and local government associations consider providing advice on Emissions Reduction Fund projects to</w:t>
                </w:r>
                <w:r w:rsidR="00FA2002" w:rsidRPr="00FA2002" w:rsidDel="001E3C5C">
                  <w:rPr>
                    <w:sz w:val="16"/>
                    <w:szCs w:val="16"/>
                  </w:rPr>
                  <w:t xml:space="preserve"> </w:t>
                </w:r>
                <w:r w:rsidR="00FA2002" w:rsidRPr="00FA2002">
                  <w:rPr>
                    <w:sz w:val="16"/>
                    <w:szCs w:val="16"/>
                  </w:rPr>
                  <w:t>their</w:t>
                </w:r>
                <w:r w:rsidR="00FA2002" w:rsidRPr="005206CA">
                  <w:rPr>
                    <w:sz w:val="18"/>
                    <w:szCs w:val="18"/>
                  </w:rPr>
                  <w:t xml:space="preserve"> </w:t>
                </w:r>
                <w:r w:rsidR="00FA2002" w:rsidRPr="00FA2002">
                  <w:rPr>
                    <w:sz w:val="16"/>
                    <w:szCs w:val="16"/>
                  </w:rPr>
                  <w:t>members</w:t>
                </w:r>
                <w:r w:rsidRPr="005206CA">
                  <w:rPr>
                    <w:sz w:val="16"/>
                    <w:szCs w:val="16"/>
                  </w:rPr>
                  <w:fldChar w:fldCharType="end"/>
                </w:r>
                <w:r w:rsidR="00EA66A8">
                  <w:rPr>
                    <w:sz w:val="16"/>
                    <w:szCs w:val="16"/>
                  </w:rPr>
                  <w:t>.</w:t>
                </w:r>
              </w:p>
            </w:tc>
          </w:tr>
          <w:tr w:rsidR="00FD4E44" w:rsidRPr="005206CA" w14:paraId="1A3D25ED" w14:textId="5F321B18"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383DD2EB" w14:textId="09FF2172"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_Ref500236573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17</w:t>
                </w:r>
                <w:r w:rsidRPr="00C46FD5">
                  <w:rPr>
                    <w:b/>
                    <w:sz w:val="16"/>
                    <w:szCs w:val="16"/>
                  </w:rPr>
                  <w:fldChar w:fldCharType="end"/>
                </w:r>
              </w:p>
            </w:tc>
            <w:tc>
              <w:tcPr>
                <w:tcW w:w="7937" w:type="dxa"/>
                <w:tcMar>
                  <w:top w:w="142" w:type="dxa"/>
                  <w:bottom w:w="142" w:type="dxa"/>
                </w:tcMar>
              </w:tcPr>
              <w:p w14:paraId="36D165DA" w14:textId="5A48F9D3"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_Ref500236862 \h  \* MERGEFORMAT </w:instrText>
                </w:r>
                <w:r w:rsidRPr="005206CA">
                  <w:rPr>
                    <w:sz w:val="16"/>
                    <w:szCs w:val="16"/>
                  </w:rPr>
                </w:r>
                <w:r w:rsidRPr="005206CA">
                  <w:rPr>
                    <w:sz w:val="16"/>
                    <w:szCs w:val="16"/>
                  </w:rPr>
                  <w:fldChar w:fldCharType="separate"/>
                </w:r>
                <w:r w:rsidR="00FA2002" w:rsidRPr="00FA2002">
                  <w:rPr>
                    <w:sz w:val="16"/>
                    <w:szCs w:val="16"/>
                  </w:rPr>
                  <w:t xml:space="preserve">The Clean Energy Regulator finalise its guidance to clarify expectations on consultation with Indigenous communities; scheme participants to notify and engage with Registered Native Title Body Corporates on project applications on determined Native Title land and other eligible interest holders before projects are registered and provide the Clean Energy Regulator with evidence this consultation occurred; and the Clean Energy Regulator not allow scheme participants to </w:t>
                </w:r>
                <w:r w:rsidR="00FA2002" w:rsidRPr="00FA2002">
                  <w:rPr>
                    <w:rFonts w:eastAsia="Times New Roman"/>
                    <w:sz w:val="16"/>
                    <w:szCs w:val="16"/>
                  </w:rPr>
                  <w:t>bid at auction until all known eligible interest holder consents have been obtained.</w:t>
                </w:r>
                <w:r w:rsidRPr="005206CA">
                  <w:rPr>
                    <w:sz w:val="16"/>
                    <w:szCs w:val="16"/>
                  </w:rPr>
                  <w:fldChar w:fldCharType="end"/>
                </w:r>
              </w:p>
            </w:tc>
          </w:tr>
          <w:tr w:rsidR="00FD4E44" w:rsidRPr="005206CA" w14:paraId="5BE9F62E" w14:textId="1D6E6B3B"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6E4C4BF" w14:textId="22A4597E"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_Ref497828250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18</w:t>
                </w:r>
                <w:r w:rsidRPr="00C46FD5">
                  <w:rPr>
                    <w:b/>
                    <w:sz w:val="16"/>
                    <w:szCs w:val="16"/>
                  </w:rPr>
                  <w:fldChar w:fldCharType="end"/>
                </w:r>
              </w:p>
            </w:tc>
            <w:tc>
              <w:tcPr>
                <w:tcW w:w="7937" w:type="dxa"/>
                <w:tcMar>
                  <w:top w:w="142" w:type="dxa"/>
                  <w:bottom w:w="142" w:type="dxa"/>
                </w:tcMar>
              </w:tcPr>
              <w:p w14:paraId="015CB074" w14:textId="777B53CA"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_Ref500236866 \h  \* MERGEFORMAT </w:instrText>
                </w:r>
                <w:r w:rsidRPr="005206CA">
                  <w:rPr>
                    <w:sz w:val="16"/>
                    <w:szCs w:val="16"/>
                  </w:rPr>
                </w:r>
                <w:r w:rsidRPr="005206CA">
                  <w:rPr>
                    <w:sz w:val="16"/>
                    <w:szCs w:val="16"/>
                  </w:rPr>
                  <w:fldChar w:fldCharType="separate"/>
                </w:r>
                <w:r w:rsidR="00FA2002" w:rsidRPr="00FA2002">
                  <w:rPr>
                    <w:rFonts w:cs="Arial"/>
                    <w:sz w:val="16"/>
                    <w:szCs w:val="16"/>
                  </w:rPr>
                  <w:t xml:space="preserve">The </w:t>
                </w:r>
                <w:r w:rsidR="00FA2002" w:rsidRPr="00FA2002">
                  <w:rPr>
                    <w:rFonts w:cs="Arial"/>
                    <w:i/>
                    <w:sz w:val="16"/>
                    <w:szCs w:val="16"/>
                  </w:rPr>
                  <w:t>Carbon Credits (Carbon Farming Initiative) Act 2011</w:t>
                </w:r>
                <w:r w:rsidR="00FA2002" w:rsidRPr="00FA2002">
                  <w:rPr>
                    <w:rFonts w:cs="Arial"/>
                    <w:sz w:val="16"/>
                    <w:szCs w:val="16"/>
                  </w:rPr>
                  <w:t xml:space="preserve"> (Cth) be amended to make it explicit that the Clean Energy Regulator can reverse specific decisions in cases where the original decision was based on false or misleading information.</w:t>
                </w:r>
                <w:r w:rsidRPr="005206CA">
                  <w:rPr>
                    <w:sz w:val="16"/>
                    <w:szCs w:val="16"/>
                  </w:rPr>
                  <w:fldChar w:fldCharType="end"/>
                </w:r>
              </w:p>
            </w:tc>
          </w:tr>
          <w:tr w:rsidR="00FD4E44" w:rsidRPr="005206CA" w14:paraId="59AC0A21" w14:textId="650BBC10"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39962AB7" w14:textId="2BE1AE85"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_Ref497828279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19</w:t>
                </w:r>
                <w:r w:rsidRPr="00C46FD5">
                  <w:rPr>
                    <w:b/>
                    <w:sz w:val="16"/>
                    <w:szCs w:val="16"/>
                  </w:rPr>
                  <w:fldChar w:fldCharType="end"/>
                </w:r>
              </w:p>
            </w:tc>
            <w:tc>
              <w:tcPr>
                <w:tcW w:w="7937" w:type="dxa"/>
                <w:tcMar>
                  <w:top w:w="142" w:type="dxa"/>
                  <w:bottom w:w="142" w:type="dxa"/>
                </w:tcMar>
              </w:tcPr>
              <w:p w14:paraId="50F171EA" w14:textId="7EA79814"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_Ref500236870 \h  \* MERGEFORMAT </w:instrText>
                </w:r>
                <w:r w:rsidRPr="005206CA">
                  <w:rPr>
                    <w:sz w:val="16"/>
                    <w:szCs w:val="16"/>
                  </w:rPr>
                </w:r>
                <w:r w:rsidRPr="005206CA">
                  <w:rPr>
                    <w:sz w:val="16"/>
                    <w:szCs w:val="16"/>
                  </w:rPr>
                  <w:fldChar w:fldCharType="separate"/>
                </w:r>
                <w:r w:rsidR="00FA2002" w:rsidRPr="00FA2002">
                  <w:rPr>
                    <w:rFonts w:cs="Arial"/>
                    <w:sz w:val="16"/>
                    <w:szCs w:val="16"/>
                  </w:rPr>
                  <w:t xml:space="preserve">The </w:t>
                </w:r>
                <w:r w:rsidR="00FA2002" w:rsidRPr="00FA2002">
                  <w:rPr>
                    <w:rFonts w:cs="Arial"/>
                    <w:i/>
                    <w:sz w:val="16"/>
                    <w:szCs w:val="16"/>
                  </w:rPr>
                  <w:t>Carbon Credits (Carbon Farming Initiative) Act 2011</w:t>
                </w:r>
                <w:r w:rsidR="00FA2002" w:rsidRPr="00FA2002">
                  <w:rPr>
                    <w:rFonts w:cs="Arial"/>
                    <w:sz w:val="16"/>
                    <w:szCs w:val="16"/>
                  </w:rPr>
                  <w:t xml:space="preserve"> (Cth) be amended to remove the requirement for scheme participants to state whether sequestration or area based projects are consistent with local Natural Resource Management plans and replaced with a requirement that scheme participants provide the Clean Energy Regulator with evidence that they have advised the relevant Natural Resource Management body about the proposed Emissions Reduction Fund project.</w:t>
                </w:r>
                <w:r w:rsidRPr="005206CA">
                  <w:rPr>
                    <w:sz w:val="16"/>
                    <w:szCs w:val="16"/>
                  </w:rPr>
                  <w:fldChar w:fldCharType="end"/>
                </w:r>
              </w:p>
            </w:tc>
          </w:tr>
          <w:tr w:rsidR="00FD4E44" w:rsidRPr="005206CA" w14:paraId="08C20C51" w14:textId="7FB718FA"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80D71F3" w14:textId="63495757"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_Ref497828286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20</w:t>
                </w:r>
                <w:r w:rsidRPr="00C46FD5">
                  <w:rPr>
                    <w:b/>
                    <w:sz w:val="16"/>
                    <w:szCs w:val="16"/>
                  </w:rPr>
                  <w:fldChar w:fldCharType="end"/>
                </w:r>
              </w:p>
            </w:tc>
            <w:tc>
              <w:tcPr>
                <w:tcW w:w="7937" w:type="dxa"/>
                <w:tcMar>
                  <w:top w:w="142" w:type="dxa"/>
                  <w:bottom w:w="142" w:type="dxa"/>
                </w:tcMar>
              </w:tcPr>
              <w:p w14:paraId="76D94892" w14:textId="0FA896B9"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_Ref500236878 \h  \* MERGEFORMAT </w:instrText>
                </w:r>
                <w:r w:rsidRPr="005206CA">
                  <w:rPr>
                    <w:sz w:val="16"/>
                    <w:szCs w:val="16"/>
                  </w:rPr>
                </w:r>
                <w:r w:rsidRPr="005206CA">
                  <w:rPr>
                    <w:sz w:val="16"/>
                    <w:szCs w:val="16"/>
                  </w:rPr>
                  <w:fldChar w:fldCharType="separate"/>
                </w:r>
                <w:r w:rsidR="00FA2002" w:rsidRPr="00FA2002">
                  <w:rPr>
                    <w:rFonts w:cs="Arial"/>
                    <w:sz w:val="16"/>
                    <w:szCs w:val="16"/>
                  </w:rPr>
                  <w:t>There be no change to the purchasing principles.</w:t>
                </w:r>
                <w:r w:rsidRPr="005206CA">
                  <w:rPr>
                    <w:sz w:val="16"/>
                    <w:szCs w:val="16"/>
                  </w:rPr>
                  <w:fldChar w:fldCharType="end"/>
                </w:r>
              </w:p>
            </w:tc>
          </w:tr>
          <w:tr w:rsidR="00FD4E44" w:rsidRPr="005206CA" w14:paraId="2682B220" w14:textId="264F6AB6"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175F3BE5" w14:textId="28A602F5"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_Ref497828293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21</w:t>
                </w:r>
                <w:r w:rsidRPr="00C46FD5">
                  <w:rPr>
                    <w:b/>
                    <w:sz w:val="16"/>
                    <w:szCs w:val="16"/>
                  </w:rPr>
                  <w:fldChar w:fldCharType="end"/>
                </w:r>
              </w:p>
            </w:tc>
            <w:tc>
              <w:tcPr>
                <w:tcW w:w="7937" w:type="dxa"/>
                <w:tcMar>
                  <w:top w:w="142" w:type="dxa"/>
                  <w:bottom w:w="142" w:type="dxa"/>
                </w:tcMar>
              </w:tcPr>
              <w:p w14:paraId="3B898A12" w14:textId="4E93FB52"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_Ref500236882 \h  \* MERGEFORMAT </w:instrText>
                </w:r>
                <w:r w:rsidRPr="005206CA">
                  <w:rPr>
                    <w:sz w:val="16"/>
                    <w:szCs w:val="16"/>
                  </w:rPr>
                </w:r>
                <w:r w:rsidRPr="005206CA">
                  <w:rPr>
                    <w:sz w:val="16"/>
                    <w:szCs w:val="16"/>
                  </w:rPr>
                  <w:fldChar w:fldCharType="separate"/>
                </w:r>
                <w:r w:rsidR="00FA2002" w:rsidRPr="00FA2002">
                  <w:rPr>
                    <w:rFonts w:cs="Arial"/>
                    <w:sz w:val="16"/>
                    <w:szCs w:val="16"/>
                  </w:rPr>
                  <w:t>The Clean Energy Regulator periodically revisit the cap on buyer’s damages in new Emissions Reduction Fund contracts to provide a greater incentive for scheme participants to deliver their contracted Australian Carbon Credit Units.</w:t>
                </w:r>
                <w:r w:rsidRPr="005206CA">
                  <w:rPr>
                    <w:sz w:val="16"/>
                    <w:szCs w:val="16"/>
                  </w:rPr>
                  <w:fldChar w:fldCharType="end"/>
                </w:r>
              </w:p>
            </w:tc>
          </w:tr>
          <w:tr w:rsidR="00FD4E44" w:rsidRPr="005206CA" w14:paraId="19D115B6" w14:textId="17ACAF5C"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7EF84A71" w14:textId="6981336C"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_Ref497828297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22</w:t>
                </w:r>
                <w:r w:rsidRPr="00C46FD5">
                  <w:rPr>
                    <w:b/>
                    <w:sz w:val="16"/>
                    <w:szCs w:val="16"/>
                  </w:rPr>
                  <w:fldChar w:fldCharType="end"/>
                </w:r>
              </w:p>
            </w:tc>
            <w:tc>
              <w:tcPr>
                <w:tcW w:w="7937" w:type="dxa"/>
                <w:tcMar>
                  <w:top w:w="142" w:type="dxa"/>
                  <w:bottom w:w="142" w:type="dxa"/>
                </w:tcMar>
              </w:tcPr>
              <w:p w14:paraId="164CC292" w14:textId="0AE7509F"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_Ref500236888 \h  \* MERGEFORMAT </w:instrText>
                </w:r>
                <w:r w:rsidRPr="005206CA">
                  <w:rPr>
                    <w:sz w:val="16"/>
                    <w:szCs w:val="16"/>
                  </w:rPr>
                </w:r>
                <w:r w:rsidRPr="005206CA">
                  <w:rPr>
                    <w:sz w:val="16"/>
                    <w:szCs w:val="16"/>
                  </w:rPr>
                  <w:fldChar w:fldCharType="separate"/>
                </w:r>
                <w:r w:rsidR="00FA2002" w:rsidRPr="00FA2002">
                  <w:rPr>
                    <w:rFonts w:cs="Arial"/>
                    <w:sz w:val="16"/>
                    <w:szCs w:val="16"/>
                  </w:rPr>
                  <w:t>The Clean Energy Regulator require scheme participants to deliver a minimum of 30</w:t>
                </w:r>
                <w:r w:rsidR="00FA2002" w:rsidRPr="00FA2002">
                  <w:rPr>
                    <w:rFonts w:cs="Arial"/>
                    <w:sz w:val="16"/>
                    <w:szCs w:val="16"/>
                  </w:rPr>
                  <w:noBreakHyphen/>
                  <w:t>50 per cent of Australian Carbon Credit Units from the projects they used to register at auction.</w:t>
                </w:r>
                <w:r w:rsidRPr="005206CA">
                  <w:rPr>
                    <w:sz w:val="16"/>
                    <w:szCs w:val="16"/>
                  </w:rPr>
                  <w:fldChar w:fldCharType="end"/>
                </w:r>
              </w:p>
            </w:tc>
          </w:tr>
          <w:tr w:rsidR="00FD4E44" w:rsidRPr="005206CA" w14:paraId="0E03B7A6" w14:textId="1212BBF6"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053AA337" w14:textId="67720395"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_Ref497828309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23</w:t>
                </w:r>
                <w:r w:rsidRPr="00C46FD5">
                  <w:rPr>
                    <w:b/>
                    <w:sz w:val="16"/>
                    <w:szCs w:val="16"/>
                  </w:rPr>
                  <w:fldChar w:fldCharType="end"/>
                </w:r>
              </w:p>
            </w:tc>
            <w:tc>
              <w:tcPr>
                <w:tcW w:w="7937" w:type="dxa"/>
                <w:tcMar>
                  <w:top w:w="142" w:type="dxa"/>
                  <w:bottom w:w="142" w:type="dxa"/>
                </w:tcMar>
              </w:tcPr>
              <w:p w14:paraId="35941C05" w14:textId="4F7B55FE"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_Ref500236890 \h  \* MERGEFORMAT </w:instrText>
                </w:r>
                <w:r w:rsidRPr="005206CA">
                  <w:rPr>
                    <w:sz w:val="16"/>
                    <w:szCs w:val="16"/>
                  </w:rPr>
                </w:r>
                <w:r w:rsidRPr="005206CA">
                  <w:rPr>
                    <w:sz w:val="16"/>
                    <w:szCs w:val="16"/>
                  </w:rPr>
                  <w:fldChar w:fldCharType="separate"/>
                </w:r>
                <w:r w:rsidR="00FA2002" w:rsidRPr="00FA2002">
                  <w:rPr>
                    <w:sz w:val="16"/>
                    <w:szCs w:val="16"/>
                    <w:lang w:val="en-US"/>
                  </w:rPr>
                  <w:t>The Clean Energy Regulator publish timely information about the holdings of Australian Carbon Credit Units including ownership, volume and project method and a six monthly ‘statement of opportunities’ that sets out the forward delivery schedule for Australian Carbon Credit Units from Emissions Reduction Fund contracts, the availability of Australian Carbon Credit Units in the secondary market and, to the extent known, indicative demand and prices for Australian Carbon Credit Units.</w:t>
                </w:r>
                <w:r w:rsidRPr="005206CA">
                  <w:rPr>
                    <w:sz w:val="16"/>
                    <w:szCs w:val="16"/>
                  </w:rPr>
                  <w:fldChar w:fldCharType="end"/>
                </w:r>
              </w:p>
            </w:tc>
          </w:tr>
          <w:tr w:rsidR="00FD4E44" w:rsidRPr="005206CA" w14:paraId="6F64C1F6" w14:textId="20AE1F9D"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3FA907E3" w14:textId="6EDF86CE"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_Ref497828317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24</w:t>
                </w:r>
                <w:r w:rsidRPr="00C46FD5">
                  <w:rPr>
                    <w:b/>
                    <w:sz w:val="16"/>
                    <w:szCs w:val="16"/>
                  </w:rPr>
                  <w:fldChar w:fldCharType="end"/>
                </w:r>
              </w:p>
            </w:tc>
            <w:tc>
              <w:tcPr>
                <w:tcW w:w="7937" w:type="dxa"/>
                <w:tcMar>
                  <w:top w:w="142" w:type="dxa"/>
                  <w:bottom w:w="142" w:type="dxa"/>
                </w:tcMar>
              </w:tcPr>
              <w:p w14:paraId="52A06C3A" w14:textId="0728312E"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_Ref500236893 \h  \* MERGEFORMAT </w:instrText>
                </w:r>
                <w:r w:rsidRPr="005206CA">
                  <w:rPr>
                    <w:sz w:val="16"/>
                    <w:szCs w:val="16"/>
                  </w:rPr>
                </w:r>
                <w:r w:rsidRPr="005206CA">
                  <w:rPr>
                    <w:sz w:val="16"/>
                    <w:szCs w:val="16"/>
                  </w:rPr>
                  <w:fldChar w:fldCharType="separate"/>
                </w:r>
                <w:r w:rsidR="00FA2002" w:rsidRPr="00FA2002">
                  <w:rPr>
                    <w:rFonts w:cs="Arial"/>
                    <w:sz w:val="16"/>
                    <w:szCs w:val="16"/>
                  </w:rPr>
                  <w:t>The Clean Energy Regulator investigate ways to further enhance client services, particularly when responding to complex enquiries.</w:t>
                </w:r>
                <w:r w:rsidRPr="005206CA">
                  <w:rPr>
                    <w:sz w:val="16"/>
                    <w:szCs w:val="16"/>
                  </w:rPr>
                  <w:fldChar w:fldCharType="end"/>
                </w:r>
              </w:p>
            </w:tc>
          </w:tr>
          <w:tr w:rsidR="00FD4E44" w:rsidRPr="005206CA" w14:paraId="42E978C5" w14:textId="62A4E1F6" w:rsidTr="0016036A">
            <w:trPr>
              <w:cnfStyle w:val="000000010000" w:firstRow="0" w:lastRow="0" w:firstColumn="0" w:lastColumn="0" w:oddVBand="0" w:evenVBand="0" w:oddHBand="0" w:evenHBand="1" w:firstRowFirstColumn="0" w:firstRowLastColumn="0" w:lastRowFirstColumn="0" w:lastRowLastColumn="0"/>
              <w:trHeight w:val="227"/>
            </w:trPr>
            <w:tc>
              <w:tcPr>
                <w:tcW w:w="737" w:type="dxa"/>
                <w:tcMar>
                  <w:top w:w="142" w:type="dxa"/>
                  <w:bottom w:w="142" w:type="dxa"/>
                </w:tcMar>
              </w:tcPr>
              <w:p w14:paraId="0771F2DB" w14:textId="35C539DB"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_Ref497828323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25</w:t>
                </w:r>
                <w:r w:rsidRPr="00C46FD5">
                  <w:rPr>
                    <w:b/>
                    <w:sz w:val="16"/>
                    <w:szCs w:val="16"/>
                  </w:rPr>
                  <w:fldChar w:fldCharType="end"/>
                </w:r>
              </w:p>
            </w:tc>
            <w:tc>
              <w:tcPr>
                <w:tcW w:w="7937" w:type="dxa"/>
                <w:tcMar>
                  <w:top w:w="142" w:type="dxa"/>
                  <w:bottom w:w="142" w:type="dxa"/>
                </w:tcMar>
              </w:tcPr>
              <w:p w14:paraId="397E7208" w14:textId="2BB6F074"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_Ref500236898 \h  \* MERGEFORMAT </w:instrText>
                </w:r>
                <w:r w:rsidRPr="005206CA">
                  <w:rPr>
                    <w:sz w:val="16"/>
                    <w:szCs w:val="16"/>
                  </w:rPr>
                </w:r>
                <w:r w:rsidRPr="005206CA">
                  <w:rPr>
                    <w:sz w:val="16"/>
                    <w:szCs w:val="16"/>
                  </w:rPr>
                  <w:fldChar w:fldCharType="separate"/>
                </w:r>
                <w:r w:rsidR="00FA2002" w:rsidRPr="00FA2002">
                  <w:rPr>
                    <w:rFonts w:cs="Arial"/>
                    <w:sz w:val="16"/>
                    <w:szCs w:val="16"/>
                  </w:rPr>
                  <w:t xml:space="preserve">The </w:t>
                </w:r>
                <w:r w:rsidR="00FA2002" w:rsidRPr="00FA2002">
                  <w:rPr>
                    <w:rFonts w:cs="Arial"/>
                    <w:i/>
                    <w:sz w:val="16"/>
                    <w:szCs w:val="16"/>
                  </w:rPr>
                  <w:t>Carbon Credits (Carbon Farming Initiative) Act 2011</w:t>
                </w:r>
                <w:r w:rsidR="00FA2002" w:rsidRPr="00FA2002">
                  <w:rPr>
                    <w:rFonts w:cs="Arial"/>
                    <w:sz w:val="16"/>
                    <w:szCs w:val="16"/>
                  </w:rPr>
                  <w:t xml:space="preserve"> (Cth) be amended to expand the Clean Energy Regulator’s regulatory toolkit to include issuing penalty infringement notices (similar to fines) for some specified instances of non-compliance such as non-reporting.</w:t>
                </w:r>
                <w:r w:rsidRPr="005206CA">
                  <w:rPr>
                    <w:sz w:val="16"/>
                    <w:szCs w:val="16"/>
                  </w:rPr>
                  <w:fldChar w:fldCharType="end"/>
                </w:r>
              </w:p>
            </w:tc>
          </w:tr>
          <w:tr w:rsidR="00FD4E44" w:rsidRPr="005206CA" w14:paraId="35FB3ACE" w14:textId="44E2C9DA" w:rsidTr="0016036A">
            <w:trPr>
              <w:cnfStyle w:val="000000100000" w:firstRow="0" w:lastRow="0" w:firstColumn="0" w:lastColumn="0" w:oddVBand="0" w:evenVBand="0" w:oddHBand="1" w:evenHBand="0" w:firstRowFirstColumn="0" w:firstRowLastColumn="0" w:lastRowFirstColumn="0" w:lastRowLastColumn="0"/>
              <w:trHeight w:val="227"/>
            </w:trPr>
            <w:tc>
              <w:tcPr>
                <w:tcW w:w="737" w:type="dxa"/>
                <w:tcMar>
                  <w:top w:w="142" w:type="dxa"/>
                  <w:bottom w:w="142" w:type="dxa"/>
                </w:tcMar>
              </w:tcPr>
              <w:p w14:paraId="11CAEB92" w14:textId="5E92499A" w:rsidR="00FD4E44" w:rsidRPr="005206CA" w:rsidRDefault="00FD4E44" w:rsidP="0016036A">
                <w:pPr>
                  <w:spacing w:after="0"/>
                  <w:rPr>
                    <w:b/>
                    <w:sz w:val="16"/>
                    <w:szCs w:val="16"/>
                  </w:rPr>
                </w:pPr>
                <w:r w:rsidRPr="00C46FD5">
                  <w:rPr>
                    <w:b/>
                    <w:sz w:val="16"/>
                    <w:szCs w:val="16"/>
                  </w:rPr>
                  <w:fldChar w:fldCharType="begin"/>
                </w:r>
                <w:r w:rsidRPr="00C46FD5">
                  <w:rPr>
                    <w:b/>
                    <w:sz w:val="16"/>
                    <w:szCs w:val="16"/>
                  </w:rPr>
                  <w:instrText xml:space="preserve"> REF _Ref497828341 \h  \* MERGEFORMAT </w:instrText>
                </w:r>
                <w:r w:rsidRPr="00C46FD5">
                  <w:rPr>
                    <w:b/>
                    <w:sz w:val="16"/>
                    <w:szCs w:val="16"/>
                  </w:rPr>
                </w:r>
                <w:r w:rsidRPr="00C46FD5">
                  <w:rPr>
                    <w:b/>
                    <w:sz w:val="16"/>
                    <w:szCs w:val="16"/>
                  </w:rPr>
                  <w:fldChar w:fldCharType="separate"/>
                </w:r>
                <w:r w:rsidR="00FA2002" w:rsidRPr="00FA2002">
                  <w:rPr>
                    <w:rFonts w:cs="Arial"/>
                    <w:b/>
                    <w:sz w:val="16"/>
                    <w:szCs w:val="16"/>
                  </w:rPr>
                  <w:t xml:space="preserve">R. </w:t>
                </w:r>
                <w:r w:rsidR="00FA2002" w:rsidRPr="00FA2002">
                  <w:rPr>
                    <w:rFonts w:cs="Arial"/>
                    <w:b/>
                    <w:noProof/>
                    <w:sz w:val="16"/>
                    <w:szCs w:val="16"/>
                  </w:rPr>
                  <w:t>26</w:t>
                </w:r>
                <w:r w:rsidRPr="00C46FD5">
                  <w:rPr>
                    <w:b/>
                    <w:sz w:val="16"/>
                    <w:szCs w:val="16"/>
                  </w:rPr>
                  <w:fldChar w:fldCharType="end"/>
                </w:r>
              </w:p>
            </w:tc>
            <w:tc>
              <w:tcPr>
                <w:tcW w:w="7937" w:type="dxa"/>
                <w:tcMar>
                  <w:top w:w="142" w:type="dxa"/>
                  <w:bottom w:w="142" w:type="dxa"/>
                </w:tcMar>
              </w:tcPr>
              <w:p w14:paraId="30BBF6E3" w14:textId="07B2B1D4" w:rsidR="00FD4E44" w:rsidRPr="005206CA" w:rsidRDefault="00FD4E44" w:rsidP="0016036A">
                <w:pPr>
                  <w:spacing w:after="0"/>
                  <w:rPr>
                    <w:sz w:val="16"/>
                    <w:szCs w:val="16"/>
                  </w:rPr>
                </w:pPr>
                <w:r w:rsidRPr="005206CA">
                  <w:rPr>
                    <w:sz w:val="16"/>
                    <w:szCs w:val="16"/>
                  </w:rPr>
                  <w:fldChar w:fldCharType="begin"/>
                </w:r>
                <w:r w:rsidRPr="005206CA">
                  <w:rPr>
                    <w:sz w:val="16"/>
                    <w:szCs w:val="16"/>
                  </w:rPr>
                  <w:instrText xml:space="preserve"> REF _Ref500236902 \h  \* MERGEFORMAT </w:instrText>
                </w:r>
                <w:r w:rsidRPr="005206CA">
                  <w:rPr>
                    <w:sz w:val="16"/>
                    <w:szCs w:val="16"/>
                  </w:rPr>
                </w:r>
                <w:r w:rsidRPr="005206CA">
                  <w:rPr>
                    <w:sz w:val="16"/>
                    <w:szCs w:val="16"/>
                  </w:rPr>
                  <w:fldChar w:fldCharType="separate"/>
                </w:r>
                <w:r w:rsidR="00FA2002" w:rsidRPr="00FA2002">
                  <w:rPr>
                    <w:sz w:val="16"/>
                    <w:szCs w:val="16"/>
                    <w:lang w:val="en-US"/>
                  </w:rPr>
                  <w:t>The Government allocate additional funds to the Department so it can collaborate with research organisations and stakeholders on new methods for the land sector, drawing on the consultation process for new method development (Recommendation 1) and the Government require rural research and development corporations include emissions reductions as one of the priorities for their research and development work.</w:t>
                </w:r>
                <w:r w:rsidRPr="005206CA">
                  <w:rPr>
                    <w:sz w:val="16"/>
                    <w:szCs w:val="16"/>
                  </w:rPr>
                  <w:fldChar w:fldCharType="end"/>
                </w:r>
              </w:p>
            </w:tc>
          </w:tr>
        </w:tbl>
        <w:p w14:paraId="4322AD6C" w14:textId="77777777" w:rsidR="009E4B7E" w:rsidRDefault="009E4B7E" w:rsidP="00E55312">
          <w:pPr>
            <w:sectPr w:rsidR="009E4B7E" w:rsidSect="009E4B7E">
              <w:headerReference w:type="even" r:id="rId19"/>
              <w:headerReference w:type="default" r:id="rId20"/>
              <w:headerReference w:type="first" r:id="rId21"/>
              <w:type w:val="continuous"/>
              <w:pgSz w:w="11906" w:h="16838"/>
              <w:pgMar w:top="1418" w:right="1276" w:bottom="567" w:left="1418" w:header="425" w:footer="425" w:gutter="0"/>
              <w:pgNumType w:start="1"/>
              <w:cols w:space="708"/>
              <w:titlePg/>
              <w:docGrid w:linePitch="360"/>
            </w:sectPr>
          </w:pPr>
        </w:p>
        <w:p w14:paraId="425DE49F" w14:textId="03432D04" w:rsidR="00D9131C" w:rsidRPr="005206CA" w:rsidRDefault="00D9131C" w:rsidP="00E55312"/>
        <w:p w14:paraId="49FA3B4B" w14:textId="2114689A" w:rsidR="00CD2623" w:rsidRPr="005206CA" w:rsidRDefault="00FA2002" w:rsidP="00F6578C">
          <w:pPr>
            <w:rPr>
              <w:lang w:val="en-US"/>
            </w:rPr>
          </w:pPr>
        </w:p>
      </w:sdtContent>
    </w:sdt>
    <w:p w14:paraId="1FC1930D" w14:textId="77777777" w:rsidR="006D0CD4" w:rsidRPr="005206CA" w:rsidRDefault="006D0CD4" w:rsidP="00E77E89">
      <w:pPr>
        <w:pStyle w:val="Heading1"/>
        <w:numPr>
          <w:ilvl w:val="0"/>
          <w:numId w:val="44"/>
        </w:numPr>
      </w:pPr>
      <w:bookmarkStart w:id="96" w:name="_Toc497819447"/>
      <w:bookmarkStart w:id="97" w:name="_Toc498691513"/>
      <w:bookmarkStart w:id="98" w:name="_Toc499043694"/>
      <w:bookmarkStart w:id="99" w:name="_Toc499051720"/>
      <w:bookmarkStart w:id="100" w:name="_Toc500251070"/>
      <w:bookmarkStart w:id="101" w:name="_Toc500251345"/>
      <w:bookmarkStart w:id="102" w:name="_Toc500253942"/>
      <w:bookmarkStart w:id="103" w:name="_Toc500401449"/>
      <w:bookmarkStart w:id="104" w:name="_Toc500490934"/>
      <w:bookmarkStart w:id="105" w:name="_Toc500512876"/>
      <w:bookmarkStart w:id="106" w:name="_Toc500514131"/>
      <w:bookmarkStart w:id="107" w:name="_Toc500516188"/>
      <w:r w:rsidRPr="005206CA">
        <w:t>Background and overview</w:t>
      </w:r>
      <w:bookmarkEnd w:id="96"/>
      <w:bookmarkEnd w:id="97"/>
      <w:bookmarkEnd w:id="98"/>
      <w:bookmarkEnd w:id="99"/>
      <w:bookmarkEnd w:id="100"/>
      <w:bookmarkEnd w:id="101"/>
      <w:bookmarkEnd w:id="102"/>
      <w:bookmarkEnd w:id="103"/>
      <w:bookmarkEnd w:id="104"/>
      <w:bookmarkEnd w:id="105"/>
      <w:bookmarkEnd w:id="106"/>
      <w:bookmarkEnd w:id="107"/>
    </w:p>
    <w:p w14:paraId="6033154A" w14:textId="77777777" w:rsidR="006D0CD4" w:rsidRPr="005206CA" w:rsidRDefault="006D0CD4">
      <w:pPr>
        <w:pStyle w:val="Heading2"/>
      </w:pPr>
      <w:bookmarkStart w:id="108" w:name="_Toc497819448"/>
      <w:bookmarkStart w:id="109" w:name="_Toc498691514"/>
      <w:bookmarkStart w:id="110" w:name="_Toc499043695"/>
      <w:bookmarkStart w:id="111" w:name="_Toc499051721"/>
      <w:bookmarkStart w:id="112" w:name="_Toc500251071"/>
      <w:bookmarkStart w:id="113" w:name="_Toc500251346"/>
      <w:bookmarkStart w:id="114" w:name="_Toc500253943"/>
      <w:bookmarkStart w:id="115" w:name="_Toc500401450"/>
      <w:bookmarkStart w:id="116" w:name="_Toc500490935"/>
      <w:bookmarkStart w:id="117" w:name="_Toc500512877"/>
      <w:bookmarkStart w:id="118" w:name="_Toc500514132"/>
      <w:bookmarkStart w:id="119" w:name="_Toc500516189"/>
      <w:r w:rsidRPr="005206CA">
        <w:t>About this review</w:t>
      </w:r>
      <w:bookmarkEnd w:id="108"/>
      <w:bookmarkEnd w:id="109"/>
      <w:bookmarkEnd w:id="110"/>
      <w:bookmarkEnd w:id="111"/>
      <w:bookmarkEnd w:id="112"/>
      <w:bookmarkEnd w:id="113"/>
      <w:bookmarkEnd w:id="114"/>
      <w:bookmarkEnd w:id="115"/>
      <w:bookmarkEnd w:id="116"/>
      <w:bookmarkEnd w:id="117"/>
      <w:bookmarkEnd w:id="118"/>
      <w:bookmarkEnd w:id="119"/>
    </w:p>
    <w:p w14:paraId="22C4A13C" w14:textId="08861C3E" w:rsidR="006D0CD4" w:rsidRPr="005206CA" w:rsidRDefault="006D0CD4" w:rsidP="006D0CD4">
      <w:r w:rsidRPr="005206CA">
        <w:t xml:space="preserve">The Climate Change Authority is an independent statutory agency, established to provide expert advice on climate change policy. The Authority is required by the </w:t>
      </w:r>
      <w:r w:rsidRPr="005206CA">
        <w:rPr>
          <w:i/>
        </w:rPr>
        <w:t>Carbon Credits (Carbon Farming Initiative) Act 2011</w:t>
      </w:r>
      <w:r w:rsidRPr="005206CA">
        <w:t xml:space="preserve"> (Cth) to review the Carbon Farming Initiative (CFI) every three years. The CFI Act states that the Authority’s review must cover the operation of the CFI Act, its regulations and other instruments made under the Act such as methodology determinations (known as methods) (Appendix A).</w:t>
      </w:r>
    </w:p>
    <w:p w14:paraId="6C6A3D1B" w14:textId="4646E515" w:rsidR="006D0CD4" w:rsidRPr="005206CA" w:rsidRDefault="006D0CD4" w:rsidP="006D0CD4">
      <w:r w:rsidRPr="005206CA">
        <w:t xml:space="preserve">The CFI was an </w:t>
      </w:r>
      <w:r w:rsidR="003D5F94" w:rsidRPr="005206CA">
        <w:t xml:space="preserve">emissions reductions </w:t>
      </w:r>
      <w:r w:rsidRPr="005206CA">
        <w:t xml:space="preserve">offsets scheme that covered the land and landfill waste sectors. </w:t>
      </w:r>
      <w:r w:rsidR="003D5F94" w:rsidRPr="005206CA">
        <w:t xml:space="preserve">An emissions offset is a reduction in emissions made in order to compensate for </w:t>
      </w:r>
      <w:r w:rsidR="00291A8E" w:rsidRPr="005206CA">
        <w:t>(</w:t>
      </w:r>
      <w:r w:rsidR="003D5F94" w:rsidRPr="005206CA">
        <w:t>or offset</w:t>
      </w:r>
      <w:r w:rsidR="00291A8E" w:rsidRPr="005206CA">
        <w:t>)</w:t>
      </w:r>
      <w:r w:rsidR="003D5F94" w:rsidRPr="005206CA">
        <w:t xml:space="preserve"> an emission made elsewhere.</w:t>
      </w:r>
      <w:r w:rsidRPr="005206CA">
        <w:t xml:space="preserve"> The legislation that supported the CFI was amended to give effect to the Emissions Reduction Fund (ERF) in 2014</w:t>
      </w:r>
      <w:r w:rsidR="009865E2" w:rsidRPr="005206CA">
        <w:t>,</w:t>
      </w:r>
      <w:r w:rsidRPr="005206CA">
        <w:t xml:space="preserve"> which has broader coverage. </w:t>
      </w:r>
    </w:p>
    <w:p w14:paraId="42B72B7F" w14:textId="4B8540A3" w:rsidR="006D0CD4" w:rsidRPr="005206CA" w:rsidRDefault="006D0CD4" w:rsidP="006D0CD4">
      <w:r w:rsidRPr="005206CA">
        <w:t xml:space="preserve">The ERF has three elements: crediting emissions reductions, purchasing emissions reductions and </w:t>
      </w:r>
      <w:r w:rsidR="004F2ABF" w:rsidRPr="005206CA">
        <w:t xml:space="preserve">the </w:t>
      </w:r>
      <w:r w:rsidRPr="005206CA">
        <w:t xml:space="preserve">safeguard. This review covers the crediting and purchasing aspects of the ERF. The safeguard element of the ERF is implemented through the </w:t>
      </w:r>
      <w:r w:rsidRPr="005206CA">
        <w:rPr>
          <w:i/>
        </w:rPr>
        <w:t xml:space="preserve">National Greenhouse and Energy Reporting Act </w:t>
      </w:r>
      <w:r w:rsidRPr="00742056">
        <w:rPr>
          <w:i/>
        </w:rPr>
        <w:t xml:space="preserve">2007 </w:t>
      </w:r>
      <w:r w:rsidRPr="005206CA">
        <w:t xml:space="preserve">(Cth) and will be covered in the Authority’s review of the NGER Act in 2018. </w:t>
      </w:r>
    </w:p>
    <w:p w14:paraId="080C7631" w14:textId="520D7AEA" w:rsidR="006D0CD4" w:rsidRPr="005206CA" w:rsidRDefault="006D0CD4" w:rsidP="006D0CD4">
      <w:r w:rsidRPr="005206CA">
        <w:t>The first review of the CFI was conducted by the Authority in 2014 (</w:t>
      </w:r>
      <w:r w:rsidRPr="005206CA">
        <w:rPr>
          <w:rStyle w:val="In-textChar"/>
        </w:rPr>
        <w:t>CCA 2014</w:t>
      </w:r>
      <w:r w:rsidRPr="005206CA">
        <w:t>). This second review of the ERF must be provided to the Minister for the Environment and Energy by 31</w:t>
      </w:r>
      <w:r w:rsidR="009865E2" w:rsidRPr="005206CA">
        <w:t> </w:t>
      </w:r>
      <w:r w:rsidRPr="005206CA">
        <w:t xml:space="preserve">December 2017. </w:t>
      </w:r>
    </w:p>
    <w:p w14:paraId="611EDB1D" w14:textId="77777777" w:rsidR="006D0CD4" w:rsidRPr="005206CA" w:rsidRDefault="006D0CD4">
      <w:pPr>
        <w:pStyle w:val="Heading2"/>
      </w:pPr>
      <w:bookmarkStart w:id="120" w:name="_Toc497819449"/>
      <w:bookmarkStart w:id="121" w:name="_Toc498691515"/>
      <w:bookmarkStart w:id="122" w:name="_Toc499043696"/>
      <w:bookmarkStart w:id="123" w:name="_Toc499051722"/>
      <w:bookmarkStart w:id="124" w:name="_Toc500251072"/>
      <w:bookmarkStart w:id="125" w:name="_Toc500251347"/>
      <w:bookmarkStart w:id="126" w:name="_Toc500253944"/>
      <w:bookmarkStart w:id="127" w:name="_Toc500401451"/>
      <w:bookmarkStart w:id="128" w:name="_Toc500490936"/>
      <w:bookmarkStart w:id="129" w:name="_Toc500512878"/>
      <w:bookmarkStart w:id="130" w:name="_Toc500514133"/>
      <w:bookmarkStart w:id="131" w:name="_Toc500516190"/>
      <w:r w:rsidRPr="005206CA">
        <w:t>Approach to this review</w:t>
      </w:r>
      <w:bookmarkEnd w:id="120"/>
      <w:bookmarkEnd w:id="121"/>
      <w:bookmarkEnd w:id="122"/>
      <w:bookmarkEnd w:id="123"/>
      <w:bookmarkEnd w:id="124"/>
      <w:bookmarkEnd w:id="125"/>
      <w:bookmarkEnd w:id="126"/>
      <w:bookmarkEnd w:id="127"/>
      <w:bookmarkEnd w:id="128"/>
      <w:bookmarkEnd w:id="129"/>
      <w:bookmarkEnd w:id="130"/>
      <w:bookmarkEnd w:id="131"/>
    </w:p>
    <w:p w14:paraId="77C8D2E8" w14:textId="451E41BB" w:rsidR="006D0CD4" w:rsidRPr="005206CA" w:rsidRDefault="006D0CD4" w:rsidP="006D0CD4">
      <w:r w:rsidRPr="005206CA">
        <w:t xml:space="preserve">The Authority considered the role that the ERF could play in meeting Australia’s Paris Agreement </w:t>
      </w:r>
      <w:r w:rsidR="0096770F">
        <w:t>target</w:t>
      </w:r>
      <w:r w:rsidR="00565491">
        <w:t>s</w:t>
      </w:r>
      <w:r w:rsidR="0096770F" w:rsidRPr="005206CA">
        <w:t xml:space="preserve"> </w:t>
      </w:r>
      <w:r w:rsidRPr="005206CA">
        <w:t xml:space="preserve">as part of its report </w:t>
      </w:r>
      <w:r w:rsidRPr="005206CA">
        <w:rPr>
          <w:i/>
        </w:rPr>
        <w:t xml:space="preserve">Towards a Climate Policy Toolkit: </w:t>
      </w:r>
      <w:r w:rsidR="00BA5B19" w:rsidRPr="005206CA">
        <w:rPr>
          <w:i/>
        </w:rPr>
        <w:t>Special Review of</w:t>
      </w:r>
      <w:r w:rsidRPr="005206CA">
        <w:rPr>
          <w:i/>
        </w:rPr>
        <w:t xml:space="preserve"> Australia’s climate goals and policies</w:t>
      </w:r>
      <w:r w:rsidRPr="005206CA">
        <w:t xml:space="preserve"> (</w:t>
      </w:r>
      <w:r w:rsidRPr="005206CA">
        <w:rPr>
          <w:rStyle w:val="In-textChar"/>
        </w:rPr>
        <w:t>CCA 2016</w:t>
      </w:r>
      <w:r w:rsidRPr="005206CA">
        <w:t>). In summary, the Authority recommended that ERF crediting and purchasing continue until other policies (such as an emissions intensit</w:t>
      </w:r>
      <w:r w:rsidR="00BA5B19" w:rsidRPr="005206CA">
        <w:t>y scheme or Clean Energy Target</w:t>
      </w:r>
      <w:r w:rsidR="000E6CCB">
        <w:t>,</w:t>
      </w:r>
      <w:r w:rsidR="0046627E" w:rsidRPr="005206CA">
        <w:rPr>
          <w:rStyle w:val="FootnoteReference"/>
        </w:rPr>
        <w:footnoteReference w:id="2"/>
      </w:r>
      <w:r w:rsidRPr="005206CA">
        <w:t xml:space="preserve"> a national energy efficiency savings scheme, an expanded safeguard mechanism, vehicle emissions standards and regulation for landfill waste and synthetic gases) are put in place. The Authority envisages an ongoing role for offsets in the land sector, using a continuation of ERF crediting, as a complement to other policy measures.</w:t>
      </w:r>
    </w:p>
    <w:p w14:paraId="6E4FF348" w14:textId="5D9DEBBB" w:rsidR="006D0CD4" w:rsidRPr="005206CA" w:rsidRDefault="006D0CD4" w:rsidP="006D0CD4">
      <w:r w:rsidRPr="005206CA">
        <w:t xml:space="preserve">The Authority is of the view that its recommendations on the ERF in the </w:t>
      </w:r>
      <w:r w:rsidR="00EA182E" w:rsidRPr="005206CA">
        <w:rPr>
          <w:i/>
        </w:rPr>
        <w:t xml:space="preserve">2016 </w:t>
      </w:r>
      <w:r w:rsidRPr="005206CA">
        <w:rPr>
          <w:i/>
        </w:rPr>
        <w:t>Special Review</w:t>
      </w:r>
      <w:r w:rsidRPr="005206CA">
        <w:t xml:space="preserve"> remain current and the focus for this review </w:t>
      </w:r>
      <w:r w:rsidR="009865E2" w:rsidRPr="005206CA">
        <w:t>i</w:t>
      </w:r>
      <w:r w:rsidRPr="005206CA">
        <w:t>s on the operational aspects of the ERF. In particular, for this review the Authority has examined the extent to which the ERF is achieving low cost and real emissions reductions and whether it is being well administered. The review also considered if there are any improvements that should be made to the operation, administration, design and governance of the ERF.</w:t>
      </w:r>
    </w:p>
    <w:p w14:paraId="0C350BAB" w14:textId="77777777" w:rsidR="006D0CD4" w:rsidRPr="005206CA" w:rsidRDefault="006D0CD4">
      <w:pPr>
        <w:pStyle w:val="Heading2"/>
      </w:pPr>
      <w:bookmarkStart w:id="132" w:name="_Toc497819450"/>
      <w:bookmarkStart w:id="133" w:name="_Toc498691516"/>
      <w:bookmarkStart w:id="134" w:name="_Toc499043697"/>
      <w:bookmarkStart w:id="135" w:name="_Toc499051723"/>
      <w:bookmarkStart w:id="136" w:name="_Toc500251073"/>
      <w:bookmarkStart w:id="137" w:name="_Toc500251348"/>
      <w:bookmarkStart w:id="138" w:name="_Toc500253945"/>
      <w:bookmarkStart w:id="139" w:name="_Toc500401452"/>
      <w:bookmarkStart w:id="140" w:name="_Toc500490937"/>
      <w:bookmarkStart w:id="141" w:name="_Toc500512879"/>
      <w:bookmarkStart w:id="142" w:name="_Toc500514134"/>
      <w:bookmarkStart w:id="143" w:name="_Toc500516191"/>
      <w:r w:rsidRPr="005206CA">
        <w:t>Public consultation</w:t>
      </w:r>
      <w:bookmarkEnd w:id="132"/>
      <w:bookmarkEnd w:id="133"/>
      <w:bookmarkEnd w:id="134"/>
      <w:bookmarkEnd w:id="135"/>
      <w:bookmarkEnd w:id="136"/>
      <w:bookmarkEnd w:id="137"/>
      <w:bookmarkEnd w:id="138"/>
      <w:bookmarkEnd w:id="139"/>
      <w:bookmarkEnd w:id="140"/>
      <w:bookmarkEnd w:id="141"/>
      <w:bookmarkEnd w:id="142"/>
      <w:bookmarkEnd w:id="143"/>
    </w:p>
    <w:p w14:paraId="6A0D51FF" w14:textId="260370C6" w:rsidR="006D0CD4" w:rsidRPr="005206CA" w:rsidRDefault="006D0CD4" w:rsidP="006D0CD4">
      <w:r w:rsidRPr="005206CA">
        <w:t xml:space="preserve">The Authority consulted widely as part of </w:t>
      </w:r>
      <w:r w:rsidR="008E23B2">
        <w:t>this</w:t>
      </w:r>
      <w:r w:rsidR="008E23B2" w:rsidRPr="005206CA">
        <w:t xml:space="preserve"> </w:t>
      </w:r>
      <w:r w:rsidR="00EA182E" w:rsidRPr="005206CA">
        <w:t>r</w:t>
      </w:r>
      <w:r w:rsidRPr="005206CA">
        <w:t>eview. The Authority thanks all individuals and organisations that contributed</w:t>
      </w:r>
      <w:r w:rsidR="009865E2" w:rsidRPr="005206CA">
        <w:t>,</w:t>
      </w:r>
      <w:r w:rsidRPr="005206CA">
        <w:t xml:space="preserve"> noting the short timeframes involved. </w:t>
      </w:r>
    </w:p>
    <w:p w14:paraId="1C0F8A4A" w14:textId="6D0A1D57" w:rsidR="006D0CD4" w:rsidRPr="005206CA" w:rsidRDefault="006D0CD4" w:rsidP="006D0CD4">
      <w:r w:rsidRPr="005206CA">
        <w:t>The Authority sought stakeholder views through roundtable discussions and individual meetings. The Authority also received 2</w:t>
      </w:r>
      <w:r w:rsidR="0031347B" w:rsidRPr="005206CA">
        <w:t>8</w:t>
      </w:r>
      <w:r w:rsidRPr="005206CA">
        <w:t xml:space="preserve"> submissions on the consultation paper that was rel</w:t>
      </w:r>
      <w:r w:rsidR="00D6496C" w:rsidRPr="005206CA">
        <w:t>eased in August 2017</w:t>
      </w:r>
      <w:r w:rsidR="00F96F4A" w:rsidRPr="005206CA">
        <w:t xml:space="preserve">, </w:t>
      </w:r>
      <w:r w:rsidR="0031347B" w:rsidRPr="005206CA">
        <w:t>four</w:t>
      </w:r>
      <w:r w:rsidR="00F96F4A" w:rsidRPr="005206CA">
        <w:t xml:space="preserve"> of which were confidential</w:t>
      </w:r>
      <w:r w:rsidR="00D6496C" w:rsidRPr="005206CA">
        <w:t xml:space="preserve"> (Appendix B</w:t>
      </w:r>
      <w:r w:rsidRPr="005206CA">
        <w:t xml:space="preserve">). </w:t>
      </w:r>
      <w:r w:rsidR="00F96F4A" w:rsidRPr="005206CA">
        <w:t>Non-confidential submissions</w:t>
      </w:r>
      <w:r w:rsidRPr="005206CA">
        <w:t xml:space="preserve"> can be found on the Authority’s website at </w:t>
      </w:r>
      <w:hyperlink r:id="rId22" w:history="1">
        <w:r w:rsidR="00090EC5" w:rsidRPr="00090EC5">
          <w:rPr>
            <w:rStyle w:val="Hyperlink"/>
          </w:rPr>
          <w:t>www.climatechangeauthority.gov.au/consultations</w:t>
        </w:r>
      </w:hyperlink>
      <w:r w:rsidRPr="005206CA">
        <w:t xml:space="preserve">. </w:t>
      </w:r>
    </w:p>
    <w:p w14:paraId="1B390CE1" w14:textId="38148266" w:rsidR="006D0CD4" w:rsidRPr="005206CA" w:rsidRDefault="006D0CD4" w:rsidP="006D0CD4">
      <w:r w:rsidRPr="005206CA">
        <w:t xml:space="preserve">The Authority was able to build on the significant work and consultation that has already occurred on some of the matters covered by </w:t>
      </w:r>
      <w:r w:rsidR="008E23B2">
        <w:t>this</w:t>
      </w:r>
      <w:r w:rsidR="008E23B2" w:rsidRPr="005206CA">
        <w:t xml:space="preserve"> </w:t>
      </w:r>
      <w:r w:rsidRPr="005206CA">
        <w:t xml:space="preserve">review. In particular, the Authority considered submissions made to the Department of the Environment and Energy’s 2017 </w:t>
      </w:r>
      <w:r w:rsidR="002874CD" w:rsidRPr="005206CA">
        <w:t>r</w:t>
      </w:r>
      <w:r w:rsidRPr="005206CA">
        <w:t xml:space="preserve">eview of climate change policies and the Authority’s </w:t>
      </w:r>
      <w:r w:rsidRPr="005206CA">
        <w:rPr>
          <w:i/>
        </w:rPr>
        <w:t>Action on the land: reducing emissions, conserving natural capital and improving farm profitability</w:t>
      </w:r>
      <w:r w:rsidRPr="005206CA">
        <w:t xml:space="preserve"> </w:t>
      </w:r>
      <w:r w:rsidR="007A6675" w:rsidRPr="005206CA">
        <w:t>issues</w:t>
      </w:r>
      <w:r w:rsidR="00E77E89" w:rsidRPr="005206CA">
        <w:t xml:space="preserve"> </w:t>
      </w:r>
      <w:r w:rsidRPr="005206CA">
        <w:t xml:space="preserve">paper released in March 2017. </w:t>
      </w:r>
    </w:p>
    <w:p w14:paraId="76AFDEF7" w14:textId="0B99A142" w:rsidR="006D0CD4" w:rsidRPr="005206CA" w:rsidRDefault="006D0CD4" w:rsidP="00E77E89">
      <w:pPr>
        <w:pStyle w:val="Heading1"/>
        <w:numPr>
          <w:ilvl w:val="0"/>
          <w:numId w:val="44"/>
        </w:numPr>
      </w:pPr>
      <w:bookmarkStart w:id="144" w:name="_Toc497819451"/>
      <w:bookmarkStart w:id="145" w:name="_Toc498691517"/>
      <w:bookmarkStart w:id="146" w:name="_Toc499043698"/>
      <w:bookmarkStart w:id="147" w:name="_Toc499051724"/>
      <w:bookmarkStart w:id="148" w:name="_Toc500251074"/>
      <w:bookmarkStart w:id="149" w:name="_Toc500251349"/>
      <w:bookmarkStart w:id="150" w:name="_Toc500253946"/>
      <w:bookmarkStart w:id="151" w:name="_Toc500401453"/>
      <w:bookmarkStart w:id="152" w:name="_Toc500490938"/>
      <w:bookmarkStart w:id="153" w:name="_Toc500512880"/>
      <w:bookmarkStart w:id="154" w:name="_Toc500514135"/>
      <w:bookmarkStart w:id="155" w:name="_Toc500516192"/>
      <w:r w:rsidRPr="005206CA">
        <w:t xml:space="preserve">Overview of the </w:t>
      </w:r>
      <w:r w:rsidR="00517703" w:rsidRPr="005206CA">
        <w:t xml:space="preserve">Emissions Reduction </w:t>
      </w:r>
      <w:bookmarkEnd w:id="144"/>
      <w:bookmarkEnd w:id="145"/>
      <w:bookmarkEnd w:id="146"/>
      <w:bookmarkEnd w:id="147"/>
      <w:r w:rsidR="00517703" w:rsidRPr="005206CA">
        <w:t>Fund</w:t>
      </w:r>
      <w:bookmarkEnd w:id="148"/>
      <w:bookmarkEnd w:id="149"/>
      <w:bookmarkEnd w:id="150"/>
      <w:bookmarkEnd w:id="151"/>
      <w:bookmarkEnd w:id="152"/>
      <w:bookmarkEnd w:id="153"/>
      <w:bookmarkEnd w:id="154"/>
      <w:bookmarkEnd w:id="155"/>
    </w:p>
    <w:p w14:paraId="540991A8" w14:textId="0396BA45" w:rsidR="006D0CD4" w:rsidRPr="005206CA" w:rsidRDefault="00AC318C">
      <w:pPr>
        <w:pStyle w:val="Heading2"/>
      </w:pPr>
      <w:bookmarkStart w:id="156" w:name="_Toc497819452"/>
      <w:bookmarkStart w:id="157" w:name="_Toc498691518"/>
      <w:bookmarkStart w:id="158" w:name="_Toc499043699"/>
      <w:bookmarkStart w:id="159" w:name="_Toc499051725"/>
      <w:bookmarkStart w:id="160" w:name="_Toc500251075"/>
      <w:bookmarkStart w:id="161" w:name="_Toc500251350"/>
      <w:bookmarkStart w:id="162" w:name="_Toc500253947"/>
      <w:bookmarkStart w:id="163" w:name="_Toc500401454"/>
      <w:bookmarkStart w:id="164" w:name="_Toc500490939"/>
      <w:bookmarkStart w:id="165" w:name="_Toc500512881"/>
      <w:bookmarkStart w:id="166" w:name="_Toc500514136"/>
      <w:bookmarkStart w:id="167" w:name="_Toc500516193"/>
      <w:r w:rsidRPr="005206CA">
        <w:t>What is the E</w:t>
      </w:r>
      <w:r w:rsidR="00AC20A6" w:rsidRPr="005206CA">
        <w:t xml:space="preserve">missions </w:t>
      </w:r>
      <w:r w:rsidRPr="005206CA">
        <w:t>R</w:t>
      </w:r>
      <w:r w:rsidR="00AC20A6" w:rsidRPr="005206CA">
        <w:t xml:space="preserve">eduction </w:t>
      </w:r>
      <w:r w:rsidRPr="005206CA">
        <w:t>F</w:t>
      </w:r>
      <w:r w:rsidR="00AC20A6" w:rsidRPr="005206CA">
        <w:t>und</w:t>
      </w:r>
      <w:r w:rsidRPr="005206CA">
        <w:t>?</w:t>
      </w:r>
      <w:bookmarkEnd w:id="156"/>
      <w:bookmarkEnd w:id="157"/>
      <w:bookmarkEnd w:id="158"/>
      <w:bookmarkEnd w:id="159"/>
      <w:bookmarkEnd w:id="160"/>
      <w:bookmarkEnd w:id="161"/>
      <w:bookmarkEnd w:id="162"/>
      <w:bookmarkEnd w:id="163"/>
      <w:bookmarkEnd w:id="164"/>
      <w:bookmarkEnd w:id="165"/>
      <w:bookmarkEnd w:id="166"/>
      <w:bookmarkEnd w:id="167"/>
    </w:p>
    <w:p w14:paraId="0E25B17A" w14:textId="639AB3E9" w:rsidR="006D0CD4" w:rsidRPr="005206CA" w:rsidRDefault="006D0CD4" w:rsidP="006D0CD4">
      <w:r w:rsidRPr="005206CA">
        <w:t xml:space="preserve">The </w:t>
      </w:r>
      <w:r w:rsidR="000A3118" w:rsidRPr="005206CA">
        <w:t>Emissions Reduction Fund (</w:t>
      </w:r>
      <w:r w:rsidRPr="005206CA">
        <w:t>ERF</w:t>
      </w:r>
      <w:r w:rsidR="000A3118" w:rsidRPr="005206CA">
        <w:t>)</w:t>
      </w:r>
      <w:r w:rsidRPr="005206CA">
        <w:t xml:space="preserve"> was established in 2014 and is the Australian Government’s central climate change policy. </w:t>
      </w:r>
    </w:p>
    <w:p w14:paraId="571647D2" w14:textId="77777777" w:rsidR="006D0CD4" w:rsidRPr="005206CA" w:rsidRDefault="006D0CD4" w:rsidP="006D0CD4">
      <w:r w:rsidRPr="005206CA">
        <w:t>Key design features of the ERF include (</w:t>
      </w:r>
      <w:r w:rsidRPr="005206CA">
        <w:rPr>
          <w:rStyle w:val="In-textChar"/>
        </w:rPr>
        <w:t>Australian Government 2014</w:t>
      </w:r>
      <w:r w:rsidRPr="005206CA">
        <w:t>):</w:t>
      </w:r>
    </w:p>
    <w:p w14:paraId="0CCE2D77" w14:textId="77777777" w:rsidR="006D0CD4" w:rsidRPr="005206CA" w:rsidRDefault="006D0CD4" w:rsidP="00D43DB8">
      <w:pPr>
        <w:pStyle w:val="ListBullet"/>
      </w:pPr>
      <w:r w:rsidRPr="005206CA">
        <w:t>Lowest-cost emissions reductions: the ERF will identify and purchase emissions reductions at the lowest cost.</w:t>
      </w:r>
    </w:p>
    <w:p w14:paraId="5CB2F077" w14:textId="77777777" w:rsidR="006D0CD4" w:rsidRPr="005206CA" w:rsidRDefault="006D0CD4" w:rsidP="00D43DB8">
      <w:pPr>
        <w:pStyle w:val="ListBullet"/>
      </w:pPr>
      <w:r w:rsidRPr="005206CA">
        <w:t>Genuine emissions reductions: the ERF will purchase emissions reductions that make a real and additional contribution to reducing Australia’s greenhouse gas emissions.</w:t>
      </w:r>
    </w:p>
    <w:p w14:paraId="57BFF4F3" w14:textId="4D1AA8EC" w:rsidR="006D0CD4" w:rsidRPr="005206CA" w:rsidRDefault="006D0CD4" w:rsidP="00D43DB8">
      <w:pPr>
        <w:pStyle w:val="ListBullet"/>
      </w:pPr>
      <w:r w:rsidRPr="005206CA">
        <w:t xml:space="preserve">Streamlined administration: the ERF was streamlined (compared to its precursor scheme, the </w:t>
      </w:r>
      <w:r w:rsidR="000A3118" w:rsidRPr="005206CA">
        <w:t>Carbon Farming Initiative (</w:t>
      </w:r>
      <w:r w:rsidRPr="005206CA">
        <w:t>CFI</w:t>
      </w:r>
      <w:r w:rsidR="000A3118" w:rsidRPr="005206CA">
        <w:t>)</w:t>
      </w:r>
      <w:r w:rsidRPr="005206CA">
        <w:t>) to make it easier for businesses to participate.</w:t>
      </w:r>
    </w:p>
    <w:p w14:paraId="7A24E172" w14:textId="77777777" w:rsidR="006D0CD4" w:rsidRPr="005206CA" w:rsidRDefault="00AC318C">
      <w:pPr>
        <w:pStyle w:val="Heading3"/>
      </w:pPr>
      <w:r w:rsidRPr="005206CA">
        <w:t>Crediting mechanism</w:t>
      </w:r>
    </w:p>
    <w:p w14:paraId="73E9C414" w14:textId="05DB5D33" w:rsidR="006D0CD4" w:rsidRPr="005206CA" w:rsidRDefault="006D0CD4" w:rsidP="006D0CD4">
      <w:r w:rsidRPr="005206CA">
        <w:t>Under the crediting mechanism, the ERF</w:t>
      </w:r>
      <w:r w:rsidRPr="005206CA" w:rsidDel="00126DF6">
        <w:t xml:space="preserve"> </w:t>
      </w:r>
      <w:r w:rsidR="00126DF6">
        <w:t>issues</w:t>
      </w:r>
      <w:r w:rsidR="00126DF6" w:rsidRPr="005206CA">
        <w:t xml:space="preserve"> </w:t>
      </w:r>
      <w:r w:rsidRPr="005206CA">
        <w:t>Australian Carbon Credit Units (ACCUs) to businesses, community organisations, local councils, individuals, and others that successfully undertake an emissions reduction project registered with the Clean Energy Regulator (CER). An ACCU represents one tonne of carbon dioxide equivalent (t CO</w:t>
      </w:r>
      <w:r w:rsidRPr="005206CA">
        <w:rPr>
          <w:vertAlign w:val="subscript"/>
        </w:rPr>
        <w:t>2</w:t>
      </w:r>
      <w:r w:rsidRPr="005206CA">
        <w:t xml:space="preserve">-e) stored or avoided by a project. Projects registered with the CER must </w:t>
      </w:r>
      <w:r w:rsidR="00F35596" w:rsidRPr="005206CA">
        <w:t xml:space="preserve">comply with </w:t>
      </w:r>
      <w:r w:rsidRPr="005206CA">
        <w:t xml:space="preserve">methods developed by the </w:t>
      </w:r>
      <w:r w:rsidR="00F37384" w:rsidRPr="005206CA">
        <w:t>Department</w:t>
      </w:r>
      <w:r w:rsidR="000A3118" w:rsidRPr="005206CA">
        <w:t xml:space="preserve"> of the Environment and Energy </w:t>
      </w:r>
      <w:r w:rsidRPr="005206CA">
        <w:t>and approved by the Mi</w:t>
      </w:r>
      <w:r w:rsidR="00C1613E" w:rsidRPr="005206CA">
        <w:t>nister. There are currently 3</w:t>
      </w:r>
      <w:r w:rsidR="00F35596" w:rsidRPr="005206CA">
        <w:t xml:space="preserve">4 </w:t>
      </w:r>
      <w:r w:rsidRPr="005206CA">
        <w:t xml:space="preserve">approved methods under which projects can be registered in agriculture, energy efficiency, facilities, mining, oil and gas, transport, vegetation management, </w:t>
      </w:r>
      <w:r w:rsidR="00F35596" w:rsidRPr="005206CA">
        <w:t xml:space="preserve">savanna fires, </w:t>
      </w:r>
      <w:r w:rsidRPr="005206CA">
        <w:t>waste and wastewater management.</w:t>
      </w:r>
    </w:p>
    <w:p w14:paraId="6A14223B" w14:textId="77777777" w:rsidR="006D0CD4" w:rsidRPr="005206CA" w:rsidRDefault="006D0CD4" w:rsidP="006D0CD4">
      <w:r w:rsidRPr="005206CA">
        <w:t xml:space="preserve">All methods under the ERF accredit emissions reductions or carbon storage that can be used to meet Australia’s international emissions reduction commitments. </w:t>
      </w:r>
    </w:p>
    <w:p w14:paraId="21723216" w14:textId="77777777" w:rsidR="006D0CD4" w:rsidRPr="005206CA" w:rsidRDefault="00AC318C">
      <w:pPr>
        <w:pStyle w:val="Heading3"/>
      </w:pPr>
      <w:r w:rsidRPr="005206CA">
        <w:t>Purchasing mechanism</w:t>
      </w:r>
    </w:p>
    <w:p w14:paraId="34F84B1D" w14:textId="639A353C" w:rsidR="00AC318C" w:rsidRPr="005206CA" w:rsidRDefault="006D0CD4" w:rsidP="00AC318C">
      <w:r w:rsidRPr="005206CA">
        <w:t xml:space="preserve">The Australian Government can purchase ACCUs from scheme participants who have registered a project with the CER. The CER </w:t>
      </w:r>
      <w:r w:rsidR="006905DA">
        <w:t xml:space="preserve">has </w:t>
      </w:r>
      <w:r w:rsidR="006905DA" w:rsidRPr="005206CA">
        <w:t>purchase</w:t>
      </w:r>
      <w:r w:rsidR="006905DA">
        <w:t>d</w:t>
      </w:r>
      <w:r w:rsidR="006905DA" w:rsidRPr="005206CA">
        <w:t xml:space="preserve"> </w:t>
      </w:r>
      <w:r w:rsidRPr="005206CA">
        <w:t xml:space="preserve">through auctions (although the CFI legislation allows the CER to purchase ACCUs through other means). </w:t>
      </w:r>
      <w:r w:rsidR="00B623C0" w:rsidRPr="005206CA">
        <w:fldChar w:fldCharType="begin"/>
      </w:r>
      <w:r w:rsidR="00B623C0" w:rsidRPr="005206CA">
        <w:instrText xml:space="preserve"> REF _Ref500238287 \h </w:instrText>
      </w:r>
      <w:r w:rsidR="005206CA">
        <w:instrText xml:space="preserve"> \* MERGEFORMAT </w:instrText>
      </w:r>
      <w:r w:rsidR="00B623C0" w:rsidRPr="005206CA">
        <w:fldChar w:fldCharType="separate"/>
      </w:r>
      <w:r w:rsidR="00FA2002" w:rsidRPr="005206CA">
        <w:rPr>
          <w:rFonts w:cs="Arial"/>
        </w:rPr>
        <w:t xml:space="preserve">Figure </w:t>
      </w:r>
      <w:r w:rsidR="00FA2002">
        <w:rPr>
          <w:rFonts w:cs="Arial"/>
          <w:noProof/>
        </w:rPr>
        <w:t>1</w:t>
      </w:r>
      <w:r w:rsidR="00B623C0" w:rsidRPr="005206CA">
        <w:fldChar w:fldCharType="end"/>
      </w:r>
      <w:r w:rsidR="004F2ABF" w:rsidRPr="005206CA">
        <w:t xml:space="preserve"> </w:t>
      </w:r>
      <w:r w:rsidRPr="005206CA">
        <w:t>outlines the project registration, crediting and purchasing mechanisms under the ERF.</w:t>
      </w:r>
      <w:r w:rsidR="00BF3B31" w:rsidRPr="005206CA">
        <w:t xml:space="preserve"> These processe</w:t>
      </w:r>
      <w:r w:rsidR="00E76D06" w:rsidRPr="005206CA">
        <w:t xml:space="preserve">s are </w:t>
      </w:r>
      <w:r w:rsidR="00BF3B31" w:rsidRPr="005206CA">
        <w:t xml:space="preserve">explained in the remainder of the report. </w:t>
      </w:r>
    </w:p>
    <w:p w14:paraId="567FFBDD" w14:textId="77777777" w:rsidR="00376D4B" w:rsidRPr="005206CA" w:rsidRDefault="00376D4B">
      <w:bookmarkStart w:id="168" w:name="_Ref499039912"/>
      <w:bookmarkStart w:id="169" w:name="_Toc492388244"/>
      <w:bookmarkStart w:id="170" w:name="_Toc497316971"/>
      <w:bookmarkStart w:id="171" w:name="_Toc497377340"/>
      <w:bookmarkStart w:id="172" w:name="_Toc497819422"/>
      <w:bookmarkStart w:id="173" w:name="_Toc497827462"/>
      <w:bookmarkStart w:id="174" w:name="_Toc497834098"/>
      <w:bookmarkStart w:id="175" w:name="_Toc498691503"/>
      <w:bookmarkStart w:id="176" w:name="_Toc499051703"/>
      <w:r w:rsidRPr="005206CA">
        <w:rPr>
          <w:cap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AC318C" w:rsidRPr="005206CA" w14:paraId="02B72E5A" w14:textId="77777777" w:rsidTr="00B14932">
        <w:trPr>
          <w:cnfStyle w:val="100000000000" w:firstRow="1" w:lastRow="0" w:firstColumn="0" w:lastColumn="0" w:oddVBand="0" w:evenVBand="0" w:oddHBand="0" w:evenHBand="0" w:firstRowFirstColumn="0" w:firstRowLastColumn="0" w:lastRowFirstColumn="0" w:lastRowLastColumn="0"/>
        </w:trPr>
        <w:tc>
          <w:tcPr>
            <w:tcW w:w="9202" w:type="dxa"/>
            <w:tcMar>
              <w:left w:w="0" w:type="dxa"/>
              <w:right w:w="0" w:type="dxa"/>
            </w:tcMar>
          </w:tcPr>
          <w:p w14:paraId="562C75FC" w14:textId="514341F1" w:rsidR="00376D4B" w:rsidRPr="005206CA" w:rsidRDefault="00AC318C" w:rsidP="00376D4B">
            <w:pPr>
              <w:pStyle w:val="CCAFigure"/>
              <w:rPr>
                <w:rFonts w:cs="Arial"/>
              </w:rPr>
            </w:pPr>
            <w:bookmarkStart w:id="177" w:name="_Ref500238287"/>
            <w:bookmarkStart w:id="178" w:name="_Toc500251052"/>
            <w:bookmarkStart w:id="179" w:name="_Toc500251327"/>
            <w:bookmarkStart w:id="180" w:name="_Toc500253924"/>
            <w:bookmarkStart w:id="181" w:name="_Toc500490915"/>
            <w:bookmarkStart w:id="182" w:name="_Toc500513610"/>
            <w:bookmarkStart w:id="183" w:name="_Toc500516169"/>
            <w:r w:rsidRPr="005206CA">
              <w:rPr>
                <w:rFonts w:cs="Arial"/>
              </w:rPr>
              <w:t xml:space="preserve">Figure </w:t>
            </w:r>
            <w:r w:rsidR="00132282" w:rsidRPr="005206CA">
              <w:rPr>
                <w:rFonts w:cs="Arial"/>
              </w:rPr>
              <w:fldChar w:fldCharType="begin"/>
            </w:r>
            <w:r w:rsidR="00132282" w:rsidRPr="005206CA">
              <w:rPr>
                <w:rFonts w:cs="Arial"/>
              </w:rPr>
              <w:instrText xml:space="preserve"> SEQ Figure \* ARABIC </w:instrText>
            </w:r>
            <w:r w:rsidR="00132282" w:rsidRPr="005206CA">
              <w:rPr>
                <w:rFonts w:cs="Arial"/>
              </w:rPr>
              <w:fldChar w:fldCharType="separate"/>
            </w:r>
            <w:r w:rsidR="00FA2002">
              <w:rPr>
                <w:rFonts w:cs="Arial"/>
                <w:noProof/>
              </w:rPr>
              <w:t>1</w:t>
            </w:r>
            <w:r w:rsidR="00132282" w:rsidRPr="005206CA">
              <w:rPr>
                <w:rFonts w:cs="Arial"/>
              </w:rPr>
              <w:fldChar w:fldCharType="end"/>
            </w:r>
            <w:bookmarkEnd w:id="168"/>
            <w:bookmarkEnd w:id="177"/>
            <w:r w:rsidRPr="005206CA">
              <w:rPr>
                <w:rFonts w:cs="Arial"/>
              </w:rPr>
              <w:t xml:space="preserve">: The ERF </w:t>
            </w:r>
            <w:bookmarkEnd w:id="169"/>
            <w:bookmarkEnd w:id="170"/>
            <w:bookmarkEnd w:id="171"/>
            <w:bookmarkEnd w:id="172"/>
            <w:bookmarkEnd w:id="173"/>
            <w:bookmarkEnd w:id="174"/>
            <w:bookmarkEnd w:id="175"/>
            <w:r w:rsidRPr="005206CA">
              <w:rPr>
                <w:rFonts w:cs="Arial"/>
              </w:rPr>
              <w:t>Process</w:t>
            </w:r>
            <w:bookmarkEnd w:id="176"/>
            <w:bookmarkEnd w:id="178"/>
            <w:bookmarkEnd w:id="179"/>
            <w:bookmarkEnd w:id="180"/>
            <w:bookmarkEnd w:id="181"/>
            <w:bookmarkEnd w:id="182"/>
            <w:bookmarkEnd w:id="183"/>
          </w:p>
        </w:tc>
      </w:tr>
      <w:tr w:rsidR="00AC318C" w:rsidRPr="005206CA" w14:paraId="047D9A52" w14:textId="77777777" w:rsidTr="00B14932">
        <w:trPr>
          <w:cnfStyle w:val="000000100000" w:firstRow="0" w:lastRow="0" w:firstColumn="0" w:lastColumn="0" w:oddVBand="0" w:evenVBand="0" w:oddHBand="1" w:evenHBand="0" w:firstRowFirstColumn="0" w:firstRowLastColumn="0" w:lastRowFirstColumn="0" w:lastRowLastColumn="0"/>
        </w:trPr>
        <w:tc>
          <w:tcPr>
            <w:tcW w:w="9202" w:type="dxa"/>
            <w:tcMar>
              <w:left w:w="0" w:type="dxa"/>
              <w:right w:w="0" w:type="dxa"/>
            </w:tcMar>
          </w:tcPr>
          <w:p w14:paraId="6D6BF556" w14:textId="536CB30B" w:rsidR="00376D4B" w:rsidRPr="005206CA" w:rsidRDefault="00767DC6" w:rsidP="00B14932">
            <w:pPr>
              <w:pStyle w:val="Footnote"/>
              <w:rPr>
                <w:rFonts w:cs="Arial"/>
                <w:b/>
              </w:rPr>
            </w:pPr>
            <w:r w:rsidRPr="005206CA">
              <w:rPr>
                <w:rFonts w:cs="Arial"/>
                <w:b/>
                <w:noProof/>
                <w:lang w:eastAsia="en-AU"/>
              </w:rPr>
              <w:drawing>
                <wp:inline distT="0" distB="0" distL="0" distR="0" wp14:anchorId="276AA86F" wp14:editId="21184DA8">
                  <wp:extent cx="5718810" cy="6523355"/>
                  <wp:effectExtent l="0" t="0" r="0" b="0"/>
                  <wp:docPr id="132" name="Picture 132" descr="Figure 1 is a schematic, which shows the steps involved in the ERF process. These are method development, project registration, crediting and auction participation." title="Figure 1: The ER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810" cy="6523355"/>
                          </a:xfrm>
                          <a:prstGeom prst="rect">
                            <a:avLst/>
                          </a:prstGeom>
                          <a:noFill/>
                        </pic:spPr>
                      </pic:pic>
                    </a:graphicData>
                  </a:graphic>
                </wp:inline>
              </w:drawing>
            </w:r>
          </w:p>
          <w:p w14:paraId="757AC79F" w14:textId="07B341ED" w:rsidR="00056722" w:rsidRPr="005206CA" w:rsidRDefault="005C63D5" w:rsidP="00AC7279">
            <w:pPr>
              <w:pStyle w:val="Footnote"/>
              <w:spacing w:after="0"/>
              <w:rPr>
                <w:rFonts w:cs="Arial"/>
                <w:b/>
              </w:rPr>
            </w:pPr>
            <w:r w:rsidRPr="005206CA">
              <w:rPr>
                <w:rFonts w:cs="Arial"/>
                <w:b/>
              </w:rPr>
              <w:t>Note:</w:t>
            </w:r>
            <w:r w:rsidRPr="005206CA">
              <w:rPr>
                <w:rFonts w:cs="Arial"/>
              </w:rPr>
              <w:t xml:space="preserve"> Scheme participants can provide abatement from projects other than that used to register at auction</w:t>
            </w:r>
            <w:r w:rsidR="00126DF6">
              <w:rPr>
                <w:rFonts w:cs="Arial"/>
              </w:rPr>
              <w:t xml:space="preserve"> to fulfil contracts</w:t>
            </w:r>
            <w:r w:rsidRPr="005206CA">
              <w:rPr>
                <w:rFonts w:cs="Arial"/>
              </w:rPr>
              <w:t>.</w:t>
            </w:r>
          </w:p>
          <w:p w14:paraId="6D747AEC" w14:textId="0D7A908F" w:rsidR="005C63D5" w:rsidRPr="005206CA" w:rsidRDefault="00AC318C" w:rsidP="00AC7279">
            <w:pPr>
              <w:pStyle w:val="Footnote"/>
              <w:spacing w:after="0"/>
              <w:rPr>
                <w:rFonts w:cs="Arial"/>
              </w:rPr>
            </w:pPr>
            <w:r w:rsidRPr="005206CA">
              <w:rPr>
                <w:rFonts w:cs="Arial"/>
                <w:b/>
              </w:rPr>
              <w:t>Source</w:t>
            </w:r>
            <w:r w:rsidRPr="005206CA">
              <w:rPr>
                <w:rFonts w:cs="Arial"/>
              </w:rPr>
              <w:t>: Climate Change Authority analysis</w:t>
            </w:r>
            <w:r w:rsidR="00A36282">
              <w:rPr>
                <w:rFonts w:cs="Arial"/>
              </w:rPr>
              <w:t>;</w:t>
            </w:r>
            <w:r w:rsidR="00A36282" w:rsidRPr="005206CA">
              <w:rPr>
                <w:rFonts w:cs="Arial"/>
              </w:rPr>
              <w:t xml:space="preserve"> </w:t>
            </w:r>
            <w:r w:rsidRPr="005206CA">
              <w:rPr>
                <w:rFonts w:cs="Arial"/>
              </w:rPr>
              <w:t xml:space="preserve">ANAO 2016. </w:t>
            </w:r>
          </w:p>
          <w:p w14:paraId="4879D217" w14:textId="16FD9DB1" w:rsidR="00AC318C" w:rsidRPr="005206CA" w:rsidRDefault="00AC318C" w:rsidP="00B14932">
            <w:pPr>
              <w:pStyle w:val="Footnote"/>
              <w:rPr>
                <w:rFonts w:cs="Arial"/>
                <w:noProof/>
                <w:lang w:eastAsia="en-AU"/>
              </w:rPr>
            </w:pPr>
          </w:p>
        </w:tc>
      </w:tr>
    </w:tbl>
    <w:p w14:paraId="6195FDB9" w14:textId="36C74B07" w:rsidR="00AC318C" w:rsidRPr="005206CA" w:rsidRDefault="00AC318C" w:rsidP="00AC318C">
      <w:pPr>
        <w:rPr>
          <w:rFonts w:cs="Arial"/>
        </w:rPr>
      </w:pPr>
      <w:r w:rsidRPr="005206CA">
        <w:rPr>
          <w:rFonts w:cs="Arial"/>
        </w:rPr>
        <w:t xml:space="preserve">The ERF was allocated $2.55 billion in 2014 to purchase emissions reductions. </w:t>
      </w:r>
      <w:r w:rsidR="00CD637E" w:rsidRPr="005206CA">
        <w:rPr>
          <w:rFonts w:cs="Arial"/>
        </w:rPr>
        <w:t xml:space="preserve">Five </w:t>
      </w:r>
      <w:r w:rsidRPr="005206CA">
        <w:rPr>
          <w:rFonts w:cs="Arial"/>
        </w:rPr>
        <w:t xml:space="preserve">auctions have been conducted between April 2015 and </w:t>
      </w:r>
      <w:r w:rsidR="00CD637E" w:rsidRPr="005206CA">
        <w:rPr>
          <w:rFonts w:cs="Arial"/>
        </w:rPr>
        <w:t xml:space="preserve">April </w:t>
      </w:r>
      <w:r w:rsidRPr="005206CA">
        <w:rPr>
          <w:rFonts w:cs="Arial"/>
        </w:rPr>
        <w:t xml:space="preserve">2017. The average price </w:t>
      </w:r>
      <w:r w:rsidR="00FB4207">
        <w:rPr>
          <w:rFonts w:cs="Arial"/>
        </w:rPr>
        <w:t>contracted</w:t>
      </w:r>
      <w:r w:rsidRPr="005206CA">
        <w:rPr>
          <w:rFonts w:cs="Arial"/>
        </w:rPr>
        <w:t xml:space="preserve"> over the period was $11.83/t and </w:t>
      </w:r>
      <w:r w:rsidR="006905DA">
        <w:rPr>
          <w:rFonts w:cs="Arial"/>
        </w:rPr>
        <w:t xml:space="preserve">as of 16 November 2017 </w:t>
      </w:r>
      <w:r w:rsidRPr="005206CA">
        <w:rPr>
          <w:rFonts w:cs="Arial"/>
        </w:rPr>
        <w:t xml:space="preserve">about $300 million </w:t>
      </w:r>
      <w:r w:rsidR="006905DA" w:rsidRPr="005206CA">
        <w:rPr>
          <w:rFonts w:cs="Arial"/>
        </w:rPr>
        <w:t>remain</w:t>
      </w:r>
      <w:r w:rsidR="006905DA">
        <w:rPr>
          <w:rFonts w:cs="Arial"/>
        </w:rPr>
        <w:t>ed</w:t>
      </w:r>
      <w:r w:rsidR="006905DA" w:rsidRPr="005206CA">
        <w:rPr>
          <w:rFonts w:cs="Arial"/>
        </w:rPr>
        <w:t xml:space="preserve"> </w:t>
      </w:r>
      <w:r w:rsidRPr="005206CA">
        <w:rPr>
          <w:rFonts w:cs="Arial"/>
        </w:rPr>
        <w:t>in the ERF. A total of 189 million tonnes of emissions reductions ha</w:t>
      </w:r>
      <w:r w:rsidR="00F35596" w:rsidRPr="005206CA">
        <w:rPr>
          <w:rFonts w:cs="Arial"/>
        </w:rPr>
        <w:t>d</w:t>
      </w:r>
      <w:r w:rsidRPr="005206CA">
        <w:rPr>
          <w:rFonts w:cs="Arial"/>
        </w:rPr>
        <w:t xml:space="preserve"> been contracted </w:t>
      </w:r>
      <w:r w:rsidR="00F35596" w:rsidRPr="005206CA">
        <w:rPr>
          <w:rFonts w:cs="Arial"/>
        </w:rPr>
        <w:t xml:space="preserve">as of </w:t>
      </w:r>
      <w:r w:rsidR="003D3209">
        <w:rPr>
          <w:rFonts w:cs="Arial"/>
        </w:rPr>
        <w:t>16 </w:t>
      </w:r>
      <w:r w:rsidR="00F35596" w:rsidRPr="005206CA">
        <w:rPr>
          <w:rFonts w:cs="Arial"/>
        </w:rPr>
        <w:t xml:space="preserve">November 2017 </w:t>
      </w:r>
      <w:r w:rsidRPr="005206CA">
        <w:rPr>
          <w:rFonts w:cs="Arial"/>
        </w:rPr>
        <w:t>(</w:t>
      </w:r>
      <w:r w:rsidRPr="005206CA">
        <w:rPr>
          <w:rStyle w:val="In-textChar"/>
        </w:rPr>
        <w:t xml:space="preserve">CER </w:t>
      </w:r>
      <w:r w:rsidR="00B4754E" w:rsidRPr="005206CA">
        <w:rPr>
          <w:rStyle w:val="In-textChar"/>
        </w:rPr>
        <w:t>2017k</w:t>
      </w:r>
      <w:r w:rsidRPr="005206CA">
        <w:rPr>
          <w:rFonts w:cs="Arial"/>
        </w:rPr>
        <w:t xml:space="preserve">). </w:t>
      </w:r>
      <w:r w:rsidRPr="005206CA">
        <w:rPr>
          <w:rFonts w:cs="Arial"/>
        </w:rPr>
        <w:fldChar w:fldCharType="begin"/>
      </w:r>
      <w:r w:rsidRPr="005206CA">
        <w:rPr>
          <w:rFonts w:cs="Arial"/>
        </w:rPr>
        <w:instrText xml:space="preserve"> REF _Ref488238714 \h  \* MERGEFORMAT </w:instrText>
      </w:r>
      <w:r w:rsidRPr="005206CA">
        <w:rPr>
          <w:rFonts w:cs="Arial"/>
        </w:rPr>
      </w:r>
      <w:r w:rsidRPr="005206CA">
        <w:rPr>
          <w:rFonts w:cs="Arial"/>
        </w:rPr>
        <w:fldChar w:fldCharType="separate"/>
      </w:r>
      <w:r w:rsidR="00FA2002" w:rsidRPr="00FA2002">
        <w:rPr>
          <w:rFonts w:cs="Arial"/>
        </w:rPr>
        <w:t>Table</w:t>
      </w:r>
      <w:r w:rsidR="00FA2002" w:rsidRPr="005206CA">
        <w:t xml:space="preserve"> </w:t>
      </w:r>
      <w:r w:rsidR="00FA2002">
        <w:rPr>
          <w:noProof/>
        </w:rPr>
        <w:t>1</w:t>
      </w:r>
      <w:r w:rsidRPr="005206CA">
        <w:rPr>
          <w:rFonts w:cs="Arial"/>
        </w:rPr>
        <w:fldChar w:fldCharType="end"/>
      </w:r>
      <w:r w:rsidRPr="005206CA">
        <w:rPr>
          <w:rFonts w:cs="Arial"/>
        </w:rPr>
        <w:t xml:space="preserve"> summarises the results from each auction. </w:t>
      </w:r>
      <w:r w:rsidR="00CD637E" w:rsidRPr="005206CA">
        <w:rPr>
          <w:rFonts w:cs="Arial"/>
        </w:rPr>
        <w:t>The sixth ERF auction was held on 6-7 December 2017. At the time of publication</w:t>
      </w:r>
      <w:r w:rsidR="00F35596" w:rsidRPr="005206CA">
        <w:rPr>
          <w:rFonts w:cs="Arial"/>
        </w:rPr>
        <w:t>,</w:t>
      </w:r>
      <w:r w:rsidR="003C2335" w:rsidRPr="005206CA">
        <w:rPr>
          <w:rFonts w:cs="Arial"/>
        </w:rPr>
        <w:t xml:space="preserve"> results from this auction were</w:t>
      </w:r>
      <w:r w:rsidR="00CD637E" w:rsidRPr="005206CA">
        <w:rPr>
          <w:rFonts w:cs="Arial"/>
        </w:rPr>
        <w:t xml:space="preserve"> </w:t>
      </w:r>
      <w:r w:rsidR="00A00E51" w:rsidRPr="005206CA">
        <w:rPr>
          <w:rFonts w:cs="Arial"/>
        </w:rPr>
        <w:t xml:space="preserve">not </w:t>
      </w:r>
      <w:r w:rsidR="00CD637E" w:rsidRPr="005206CA">
        <w:rPr>
          <w:rFonts w:cs="Arial"/>
        </w:rPr>
        <w:t>available</w:t>
      </w:r>
      <w:r w:rsidR="00E36085" w:rsidRPr="005206CA">
        <w:rPr>
          <w:rFonts w:cs="Arial"/>
        </w:rPr>
        <w:t>.</w:t>
      </w:r>
      <w:r w:rsidR="003C2335" w:rsidRPr="005206CA">
        <w:rPr>
          <w:rFonts w:cs="Arial"/>
        </w:rPr>
        <w:t xml:space="preserve"> </w:t>
      </w:r>
    </w:p>
    <w:p w14:paraId="3B990401" w14:textId="77777777" w:rsidR="00376D4B" w:rsidRPr="005206CA" w:rsidRDefault="00376D4B" w:rsidP="00AC318C">
      <w:pPr>
        <w:spacing w:after="0" w:line="240" w:lineRule="auto"/>
        <w:rPr>
          <w:rFonts w:cs="Arial"/>
        </w:rPr>
      </w:pPr>
    </w:p>
    <w:p w14:paraId="52339C6A" w14:textId="2D760040" w:rsidR="00AC318C" w:rsidRPr="005206CA" w:rsidRDefault="00376D4B" w:rsidP="00AC318C">
      <w:pPr>
        <w:spacing w:after="0" w:line="240" w:lineRule="auto"/>
        <w:rPr>
          <w:rFonts w:cs="Arial"/>
        </w:rPr>
      </w:pPr>
      <w:r w:rsidRPr="005206CA">
        <w:rPr>
          <w:rFonts w:cs="Arial"/>
        </w:rPr>
        <w:br w:type="page"/>
      </w:r>
    </w:p>
    <w:p w14:paraId="2104722A" w14:textId="417C41F4" w:rsidR="00AC318C" w:rsidRPr="005206CA" w:rsidRDefault="00AC318C" w:rsidP="00AC318C">
      <w:pPr>
        <w:pStyle w:val="FigureTableHeader"/>
      </w:pPr>
      <w:bookmarkStart w:id="184" w:name="_Ref488238714"/>
      <w:bookmarkStart w:id="185" w:name="_Toc492388248"/>
      <w:bookmarkStart w:id="186" w:name="_Toc497316966"/>
      <w:bookmarkStart w:id="187" w:name="_Toc497377344"/>
      <w:bookmarkStart w:id="188" w:name="_Toc497819430"/>
      <w:bookmarkStart w:id="189" w:name="_Toc498691492"/>
      <w:bookmarkStart w:id="190" w:name="_Toc499051692"/>
      <w:bookmarkStart w:id="191" w:name="_Toc500251040"/>
      <w:bookmarkStart w:id="192" w:name="_Toc500251315"/>
      <w:bookmarkStart w:id="193" w:name="_Toc500253912"/>
      <w:bookmarkStart w:id="194" w:name="_Toc500400115"/>
      <w:bookmarkStart w:id="195" w:name="_Toc500490903"/>
      <w:bookmarkStart w:id="196" w:name="_Toc500513619"/>
      <w:bookmarkStart w:id="197" w:name="_Toc500516157"/>
      <w:r w:rsidRPr="005206CA">
        <w:t xml:space="preserve">Table </w:t>
      </w:r>
      <w:r w:rsidR="00FA2002">
        <w:fldChar w:fldCharType="begin"/>
      </w:r>
      <w:r w:rsidR="00FA2002">
        <w:instrText xml:space="preserve"> SEQ Table \* ARABIC </w:instrText>
      </w:r>
      <w:r w:rsidR="00FA2002">
        <w:fldChar w:fldCharType="separate"/>
      </w:r>
      <w:r w:rsidR="00FA2002">
        <w:rPr>
          <w:noProof/>
        </w:rPr>
        <w:t>1</w:t>
      </w:r>
      <w:r w:rsidR="00FA2002">
        <w:rPr>
          <w:noProof/>
        </w:rPr>
        <w:fldChar w:fldCharType="end"/>
      </w:r>
      <w:bookmarkEnd w:id="184"/>
      <w:r w:rsidRPr="005206CA">
        <w:t>: ERF auction results</w:t>
      </w:r>
      <w:bookmarkEnd w:id="185"/>
      <w:bookmarkEnd w:id="186"/>
      <w:bookmarkEnd w:id="187"/>
      <w:bookmarkEnd w:id="188"/>
      <w:bookmarkEnd w:id="189"/>
      <w:bookmarkEnd w:id="190"/>
      <w:bookmarkEnd w:id="191"/>
      <w:bookmarkEnd w:id="192"/>
      <w:bookmarkEnd w:id="193"/>
      <w:bookmarkEnd w:id="194"/>
      <w:bookmarkEnd w:id="195"/>
      <w:bookmarkEnd w:id="196"/>
      <w:bookmarkEnd w:id="197"/>
    </w:p>
    <w:tbl>
      <w:tblPr>
        <w:tblStyle w:val="PlainTable3"/>
        <w:tblW w:w="5078" w:type="pct"/>
        <w:tblBorders>
          <w:insideH w:val="dotted" w:sz="4" w:space="0" w:color="auto"/>
        </w:tblBorders>
        <w:tblLook w:val="06E0" w:firstRow="1" w:lastRow="1" w:firstColumn="1" w:lastColumn="0" w:noHBand="1" w:noVBand="1"/>
      </w:tblPr>
      <w:tblGrid>
        <w:gridCol w:w="2303"/>
        <w:gridCol w:w="2942"/>
        <w:gridCol w:w="1663"/>
        <w:gridCol w:w="2448"/>
      </w:tblGrid>
      <w:tr w:rsidR="00AC318C" w:rsidRPr="005206CA" w14:paraId="3CE42825" w14:textId="77777777" w:rsidTr="00B14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1" w:type="pct"/>
            <w:tcBorders>
              <w:bottom w:val="nil"/>
            </w:tcBorders>
            <w:shd w:val="clear" w:color="auto" w:fill="309CC8"/>
          </w:tcPr>
          <w:p w14:paraId="429C7F10" w14:textId="77777777" w:rsidR="00AC318C" w:rsidRPr="005206CA" w:rsidRDefault="00AC318C" w:rsidP="00B14932">
            <w:pPr>
              <w:pStyle w:val="TableHeadingRightAligned"/>
              <w:spacing w:before="40"/>
              <w:jc w:val="left"/>
              <w:rPr>
                <w:rFonts w:ascii="Arial" w:hAnsi="Arial" w:cs="Arial"/>
                <w:szCs w:val="16"/>
              </w:rPr>
            </w:pPr>
            <w:r w:rsidRPr="005206CA">
              <w:rPr>
                <w:rFonts w:ascii="Arial" w:hAnsi="Arial" w:cs="Arial"/>
                <w:szCs w:val="16"/>
              </w:rPr>
              <w:t>AUCTION DATE</w:t>
            </w:r>
          </w:p>
        </w:tc>
        <w:tc>
          <w:tcPr>
            <w:tcW w:w="1572" w:type="pct"/>
            <w:tcBorders>
              <w:bottom w:val="nil"/>
            </w:tcBorders>
            <w:shd w:val="clear" w:color="auto" w:fill="309CC8"/>
          </w:tcPr>
          <w:p w14:paraId="08C35F6F" w14:textId="77777777" w:rsidR="00AC318C" w:rsidRPr="005206CA" w:rsidRDefault="00AC318C" w:rsidP="00B14932">
            <w:pPr>
              <w:pStyle w:val="TableHeadingRightAligned"/>
              <w:spacing w:before="40"/>
              <w:cnfStyle w:val="100000000000" w:firstRow="1" w:lastRow="0" w:firstColumn="0" w:lastColumn="0" w:oddVBand="0" w:evenVBand="0" w:oddHBand="0" w:evenHBand="0" w:firstRowFirstColumn="0" w:firstRowLastColumn="0" w:lastRowFirstColumn="0" w:lastRowLastColumn="0"/>
              <w:rPr>
                <w:rFonts w:ascii="Arial" w:hAnsi="Arial" w:cs="Arial"/>
                <w:szCs w:val="16"/>
              </w:rPr>
            </w:pPr>
            <w:r w:rsidRPr="005206CA">
              <w:rPr>
                <w:rFonts w:ascii="Arial" w:hAnsi="Arial" w:cs="Arial"/>
                <w:szCs w:val="16"/>
              </w:rPr>
              <w:t>CONTRACTED ABATEMENT</w:t>
            </w:r>
            <w:r w:rsidRPr="005206CA">
              <w:rPr>
                <w:rFonts w:ascii="Arial" w:hAnsi="Arial" w:cs="Arial"/>
                <w:szCs w:val="16"/>
              </w:rPr>
              <w:br/>
              <w:t>(MILLION ACCUS OR MILLION TONNES OF CO</w:t>
            </w:r>
            <w:r w:rsidRPr="005206CA">
              <w:rPr>
                <w:rFonts w:ascii="Arial" w:hAnsi="Arial" w:cs="Arial"/>
                <w:szCs w:val="16"/>
                <w:vertAlign w:val="subscript"/>
              </w:rPr>
              <w:t>2</w:t>
            </w:r>
            <w:r w:rsidRPr="005206CA">
              <w:rPr>
                <w:rFonts w:ascii="Arial" w:hAnsi="Arial" w:cs="Arial"/>
                <w:szCs w:val="16"/>
              </w:rPr>
              <w:t>-E)</w:t>
            </w:r>
          </w:p>
        </w:tc>
        <w:tc>
          <w:tcPr>
            <w:tcW w:w="889" w:type="pct"/>
            <w:tcBorders>
              <w:bottom w:val="nil"/>
            </w:tcBorders>
            <w:shd w:val="clear" w:color="auto" w:fill="309CC8"/>
          </w:tcPr>
          <w:p w14:paraId="4A30D7E7" w14:textId="64C25CDD" w:rsidR="00AC318C" w:rsidRPr="005206CA" w:rsidRDefault="00AC318C" w:rsidP="00B14932">
            <w:pPr>
              <w:pStyle w:val="TableHeadingRightAligned"/>
              <w:spacing w:before="40"/>
              <w:cnfStyle w:val="100000000000" w:firstRow="1" w:lastRow="0" w:firstColumn="0" w:lastColumn="0" w:oddVBand="0" w:evenVBand="0" w:oddHBand="0" w:evenHBand="0" w:firstRowFirstColumn="0" w:firstRowLastColumn="0" w:lastRowFirstColumn="0" w:lastRowLastColumn="0"/>
              <w:rPr>
                <w:rFonts w:ascii="Arial" w:hAnsi="Arial" w:cs="Arial"/>
                <w:szCs w:val="16"/>
              </w:rPr>
            </w:pPr>
            <w:r w:rsidRPr="005206CA">
              <w:rPr>
                <w:rFonts w:ascii="Arial" w:hAnsi="Arial" w:cs="Arial"/>
                <w:szCs w:val="16"/>
              </w:rPr>
              <w:t>AVERAGE PRICE PER ACCU</w:t>
            </w:r>
            <w:r w:rsidRPr="005206CA">
              <w:rPr>
                <w:rFonts w:ascii="Arial" w:hAnsi="Arial" w:cs="Arial"/>
                <w:szCs w:val="16"/>
              </w:rPr>
              <w:br/>
              <w:t>($)</w:t>
            </w:r>
          </w:p>
        </w:tc>
        <w:tc>
          <w:tcPr>
            <w:tcW w:w="1308" w:type="pct"/>
            <w:tcBorders>
              <w:bottom w:val="nil"/>
            </w:tcBorders>
            <w:shd w:val="clear" w:color="auto" w:fill="309CC8"/>
          </w:tcPr>
          <w:p w14:paraId="4ED783B2" w14:textId="0F718240" w:rsidR="00AC318C" w:rsidRPr="005206CA" w:rsidRDefault="00AC318C" w:rsidP="00B14932">
            <w:pPr>
              <w:pStyle w:val="TableHeadingRightAligned"/>
              <w:spacing w:before="40"/>
              <w:cnfStyle w:val="100000000000" w:firstRow="1" w:lastRow="0" w:firstColumn="0" w:lastColumn="0" w:oddVBand="0" w:evenVBand="0" w:oddHBand="0" w:evenHBand="0" w:firstRowFirstColumn="0" w:firstRowLastColumn="0" w:lastRowFirstColumn="0" w:lastRowLastColumn="0"/>
              <w:rPr>
                <w:rFonts w:ascii="Arial" w:hAnsi="Arial" w:cs="Arial"/>
                <w:szCs w:val="16"/>
              </w:rPr>
            </w:pPr>
            <w:r w:rsidRPr="005206CA">
              <w:rPr>
                <w:rFonts w:ascii="Arial" w:hAnsi="Arial" w:cs="Arial"/>
                <w:szCs w:val="16"/>
              </w:rPr>
              <w:t>TOTAL COST</w:t>
            </w:r>
            <w:r w:rsidRPr="005206CA">
              <w:rPr>
                <w:rFonts w:ascii="Arial" w:hAnsi="Arial" w:cs="Arial"/>
                <w:szCs w:val="16"/>
              </w:rPr>
              <w:br/>
              <w:t>($ MILLION)</w:t>
            </w:r>
          </w:p>
        </w:tc>
      </w:tr>
      <w:tr w:rsidR="00AC318C" w:rsidRPr="005206CA" w14:paraId="399D1E38" w14:textId="77777777" w:rsidTr="00B14932">
        <w:tc>
          <w:tcPr>
            <w:cnfStyle w:val="001000000000" w:firstRow="0" w:lastRow="0" w:firstColumn="1" w:lastColumn="0" w:oddVBand="0" w:evenVBand="0" w:oddHBand="0" w:evenHBand="0" w:firstRowFirstColumn="0" w:firstRowLastColumn="0" w:lastRowFirstColumn="0" w:lastRowLastColumn="0"/>
            <w:tcW w:w="1231" w:type="pct"/>
            <w:tcBorders>
              <w:top w:val="nil"/>
              <w:bottom w:val="dotted" w:sz="4" w:space="0" w:color="auto"/>
              <w:right w:val="nil"/>
            </w:tcBorders>
            <w:shd w:val="clear" w:color="auto" w:fill="auto"/>
          </w:tcPr>
          <w:p w14:paraId="17E4DD2C" w14:textId="77777777" w:rsidR="00AC318C" w:rsidRPr="00F542C7" w:rsidRDefault="00AC318C" w:rsidP="00B14932">
            <w:pPr>
              <w:pStyle w:val="CCATabletext"/>
              <w:rPr>
                <w:rFonts w:cs="Arial"/>
                <w:sz w:val="16"/>
                <w:szCs w:val="16"/>
              </w:rPr>
            </w:pPr>
            <w:r w:rsidRPr="00BE6007">
              <w:rPr>
                <w:rFonts w:cs="Arial"/>
                <w:sz w:val="16"/>
                <w:szCs w:val="16"/>
              </w:rPr>
              <w:t>April 2015</w:t>
            </w:r>
          </w:p>
        </w:tc>
        <w:tc>
          <w:tcPr>
            <w:tcW w:w="1572" w:type="pct"/>
            <w:tcBorders>
              <w:top w:val="nil"/>
              <w:left w:val="nil"/>
              <w:bottom w:val="dotted" w:sz="4" w:space="0" w:color="auto"/>
              <w:right w:val="nil"/>
            </w:tcBorders>
            <w:shd w:val="clear" w:color="auto" w:fill="auto"/>
          </w:tcPr>
          <w:p w14:paraId="4205B0A2"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47.3</w:t>
            </w:r>
          </w:p>
        </w:tc>
        <w:tc>
          <w:tcPr>
            <w:tcW w:w="889" w:type="pct"/>
            <w:tcBorders>
              <w:top w:val="nil"/>
              <w:left w:val="nil"/>
              <w:bottom w:val="dotted" w:sz="4" w:space="0" w:color="auto"/>
              <w:right w:val="nil"/>
            </w:tcBorders>
            <w:shd w:val="clear" w:color="auto" w:fill="auto"/>
          </w:tcPr>
          <w:p w14:paraId="6F5613E9"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13.95</w:t>
            </w:r>
          </w:p>
        </w:tc>
        <w:tc>
          <w:tcPr>
            <w:tcW w:w="1308" w:type="pct"/>
            <w:tcBorders>
              <w:top w:val="nil"/>
              <w:left w:val="nil"/>
              <w:bottom w:val="dotted" w:sz="4" w:space="0" w:color="auto"/>
            </w:tcBorders>
            <w:shd w:val="clear" w:color="auto" w:fill="auto"/>
          </w:tcPr>
          <w:p w14:paraId="5446C269"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660.</w:t>
            </w:r>
            <w:r w:rsidR="00FF5AA3" w:rsidRPr="005206CA">
              <w:rPr>
                <w:rFonts w:cs="Arial"/>
                <w:sz w:val="16"/>
                <w:szCs w:val="16"/>
              </w:rPr>
              <w:t>3</w:t>
            </w:r>
          </w:p>
        </w:tc>
      </w:tr>
      <w:tr w:rsidR="00AC318C" w:rsidRPr="005206CA" w14:paraId="20AE7987" w14:textId="77777777" w:rsidTr="00B14932">
        <w:tc>
          <w:tcPr>
            <w:cnfStyle w:val="001000000000" w:firstRow="0" w:lastRow="0" w:firstColumn="1" w:lastColumn="0" w:oddVBand="0" w:evenVBand="0" w:oddHBand="0" w:evenHBand="0" w:firstRowFirstColumn="0" w:firstRowLastColumn="0" w:lastRowFirstColumn="0" w:lastRowLastColumn="0"/>
            <w:tcW w:w="1231" w:type="pct"/>
            <w:tcBorders>
              <w:top w:val="dotted" w:sz="4" w:space="0" w:color="auto"/>
              <w:bottom w:val="dotted" w:sz="4" w:space="0" w:color="auto"/>
              <w:right w:val="nil"/>
            </w:tcBorders>
            <w:shd w:val="clear" w:color="auto" w:fill="auto"/>
          </w:tcPr>
          <w:p w14:paraId="5B9D2FA5" w14:textId="77777777" w:rsidR="00AC318C" w:rsidRPr="00F542C7" w:rsidRDefault="00AC318C" w:rsidP="00B14932">
            <w:pPr>
              <w:pStyle w:val="Tabletext"/>
              <w:spacing w:before="40" w:after="40" w:line="200" w:lineRule="exact"/>
              <w:rPr>
                <w:rFonts w:cs="Arial"/>
                <w:sz w:val="16"/>
                <w:szCs w:val="16"/>
              </w:rPr>
            </w:pPr>
            <w:r w:rsidRPr="00BE6007">
              <w:rPr>
                <w:rFonts w:cs="Arial"/>
                <w:sz w:val="16"/>
                <w:szCs w:val="16"/>
              </w:rPr>
              <w:t>November 2015</w:t>
            </w:r>
          </w:p>
        </w:tc>
        <w:tc>
          <w:tcPr>
            <w:tcW w:w="1572" w:type="pct"/>
            <w:tcBorders>
              <w:top w:val="dotted" w:sz="4" w:space="0" w:color="auto"/>
              <w:left w:val="nil"/>
              <w:bottom w:val="dotted" w:sz="4" w:space="0" w:color="auto"/>
              <w:right w:val="nil"/>
            </w:tcBorders>
            <w:shd w:val="clear" w:color="auto" w:fill="auto"/>
          </w:tcPr>
          <w:p w14:paraId="3839BCF6"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45.5</w:t>
            </w:r>
          </w:p>
        </w:tc>
        <w:tc>
          <w:tcPr>
            <w:tcW w:w="889" w:type="pct"/>
            <w:tcBorders>
              <w:top w:val="dotted" w:sz="4" w:space="0" w:color="auto"/>
              <w:left w:val="nil"/>
              <w:bottom w:val="dotted" w:sz="4" w:space="0" w:color="auto"/>
              <w:right w:val="nil"/>
            </w:tcBorders>
            <w:shd w:val="clear" w:color="auto" w:fill="auto"/>
          </w:tcPr>
          <w:p w14:paraId="1A12F20D"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12.25</w:t>
            </w:r>
          </w:p>
        </w:tc>
        <w:tc>
          <w:tcPr>
            <w:tcW w:w="1308" w:type="pct"/>
            <w:tcBorders>
              <w:top w:val="dotted" w:sz="4" w:space="0" w:color="auto"/>
              <w:left w:val="nil"/>
              <w:bottom w:val="dotted" w:sz="4" w:space="0" w:color="auto"/>
            </w:tcBorders>
            <w:shd w:val="clear" w:color="auto" w:fill="auto"/>
          </w:tcPr>
          <w:p w14:paraId="63DC978A"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556.</w:t>
            </w:r>
            <w:r w:rsidR="00FF5AA3" w:rsidRPr="005206CA">
              <w:rPr>
                <w:rFonts w:cs="Arial"/>
                <w:sz w:val="16"/>
                <w:szCs w:val="16"/>
              </w:rPr>
              <w:t>8</w:t>
            </w:r>
          </w:p>
        </w:tc>
      </w:tr>
      <w:tr w:rsidR="00AC318C" w:rsidRPr="005206CA" w14:paraId="4DF71C5D" w14:textId="77777777" w:rsidTr="00B14932">
        <w:tc>
          <w:tcPr>
            <w:cnfStyle w:val="001000000000" w:firstRow="0" w:lastRow="0" w:firstColumn="1" w:lastColumn="0" w:oddVBand="0" w:evenVBand="0" w:oddHBand="0" w:evenHBand="0" w:firstRowFirstColumn="0" w:firstRowLastColumn="0" w:lastRowFirstColumn="0" w:lastRowLastColumn="0"/>
            <w:tcW w:w="1231" w:type="pct"/>
            <w:tcBorders>
              <w:top w:val="dotted" w:sz="4" w:space="0" w:color="auto"/>
              <w:bottom w:val="dotted" w:sz="4" w:space="0" w:color="auto"/>
              <w:right w:val="nil"/>
            </w:tcBorders>
            <w:shd w:val="clear" w:color="auto" w:fill="auto"/>
          </w:tcPr>
          <w:p w14:paraId="6078F533" w14:textId="77777777" w:rsidR="00AC318C" w:rsidRPr="00F542C7" w:rsidRDefault="00AC318C" w:rsidP="00B14932">
            <w:pPr>
              <w:pStyle w:val="Tabletext"/>
              <w:spacing w:before="40" w:after="40" w:line="200" w:lineRule="exact"/>
              <w:rPr>
                <w:rFonts w:cs="Arial"/>
                <w:sz w:val="16"/>
                <w:szCs w:val="16"/>
              </w:rPr>
            </w:pPr>
            <w:r w:rsidRPr="00BE6007">
              <w:rPr>
                <w:rFonts w:cs="Arial"/>
                <w:sz w:val="16"/>
                <w:szCs w:val="16"/>
              </w:rPr>
              <w:t>April 2016</w:t>
            </w:r>
          </w:p>
        </w:tc>
        <w:tc>
          <w:tcPr>
            <w:tcW w:w="1572" w:type="pct"/>
            <w:tcBorders>
              <w:top w:val="dotted" w:sz="4" w:space="0" w:color="auto"/>
              <w:left w:val="nil"/>
              <w:bottom w:val="dotted" w:sz="4" w:space="0" w:color="auto"/>
              <w:right w:val="nil"/>
            </w:tcBorders>
            <w:shd w:val="clear" w:color="auto" w:fill="auto"/>
          </w:tcPr>
          <w:p w14:paraId="1B639878"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50.5</w:t>
            </w:r>
          </w:p>
        </w:tc>
        <w:tc>
          <w:tcPr>
            <w:tcW w:w="889" w:type="pct"/>
            <w:tcBorders>
              <w:top w:val="dotted" w:sz="4" w:space="0" w:color="auto"/>
              <w:left w:val="nil"/>
              <w:bottom w:val="dotted" w:sz="4" w:space="0" w:color="auto"/>
              <w:right w:val="nil"/>
            </w:tcBorders>
            <w:shd w:val="clear" w:color="auto" w:fill="auto"/>
          </w:tcPr>
          <w:p w14:paraId="56DCFF7F"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10.23</w:t>
            </w:r>
          </w:p>
        </w:tc>
        <w:tc>
          <w:tcPr>
            <w:tcW w:w="1308" w:type="pct"/>
            <w:tcBorders>
              <w:top w:val="dotted" w:sz="4" w:space="0" w:color="auto"/>
              <w:left w:val="nil"/>
              <w:bottom w:val="dotted" w:sz="4" w:space="0" w:color="auto"/>
            </w:tcBorders>
            <w:shd w:val="clear" w:color="auto" w:fill="auto"/>
          </w:tcPr>
          <w:p w14:paraId="7742850C"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516.</w:t>
            </w:r>
            <w:r w:rsidR="00FF5AA3" w:rsidRPr="005206CA">
              <w:rPr>
                <w:rFonts w:cs="Arial"/>
                <w:bCs/>
                <w:caps/>
                <w:sz w:val="16"/>
                <w:szCs w:val="16"/>
              </w:rPr>
              <w:t>3</w:t>
            </w:r>
          </w:p>
        </w:tc>
      </w:tr>
      <w:tr w:rsidR="00AC318C" w:rsidRPr="005206CA" w14:paraId="2CF79C0E" w14:textId="77777777" w:rsidTr="00B14932">
        <w:tc>
          <w:tcPr>
            <w:cnfStyle w:val="001000000000" w:firstRow="0" w:lastRow="0" w:firstColumn="1" w:lastColumn="0" w:oddVBand="0" w:evenVBand="0" w:oddHBand="0" w:evenHBand="0" w:firstRowFirstColumn="0" w:firstRowLastColumn="0" w:lastRowFirstColumn="0" w:lastRowLastColumn="0"/>
            <w:tcW w:w="1231" w:type="pct"/>
            <w:tcBorders>
              <w:top w:val="dotted" w:sz="4" w:space="0" w:color="auto"/>
              <w:bottom w:val="dotted" w:sz="4" w:space="0" w:color="auto"/>
              <w:right w:val="nil"/>
            </w:tcBorders>
            <w:shd w:val="clear" w:color="auto" w:fill="auto"/>
          </w:tcPr>
          <w:p w14:paraId="1C07F122" w14:textId="77777777" w:rsidR="00AC318C" w:rsidRPr="00F542C7" w:rsidRDefault="00AC318C" w:rsidP="00B14932">
            <w:pPr>
              <w:pStyle w:val="Tabletext"/>
              <w:spacing w:before="40" w:after="40" w:line="200" w:lineRule="exact"/>
              <w:rPr>
                <w:rFonts w:cs="Arial"/>
                <w:sz w:val="16"/>
                <w:szCs w:val="16"/>
              </w:rPr>
            </w:pPr>
            <w:r w:rsidRPr="00BE6007">
              <w:rPr>
                <w:rFonts w:cs="Arial"/>
                <w:sz w:val="16"/>
                <w:szCs w:val="16"/>
              </w:rPr>
              <w:t>November 2016</w:t>
            </w:r>
          </w:p>
        </w:tc>
        <w:tc>
          <w:tcPr>
            <w:tcW w:w="1572" w:type="pct"/>
            <w:tcBorders>
              <w:top w:val="dotted" w:sz="4" w:space="0" w:color="auto"/>
              <w:left w:val="nil"/>
              <w:bottom w:val="dotted" w:sz="4" w:space="0" w:color="auto"/>
              <w:right w:val="nil"/>
            </w:tcBorders>
            <w:shd w:val="clear" w:color="auto" w:fill="auto"/>
          </w:tcPr>
          <w:p w14:paraId="77BA548E"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34.4</w:t>
            </w:r>
          </w:p>
        </w:tc>
        <w:tc>
          <w:tcPr>
            <w:tcW w:w="889" w:type="pct"/>
            <w:tcBorders>
              <w:top w:val="dotted" w:sz="4" w:space="0" w:color="auto"/>
              <w:left w:val="nil"/>
              <w:bottom w:val="dotted" w:sz="4" w:space="0" w:color="auto"/>
              <w:right w:val="nil"/>
            </w:tcBorders>
            <w:shd w:val="clear" w:color="auto" w:fill="auto"/>
          </w:tcPr>
          <w:p w14:paraId="424AB60F"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10.69</w:t>
            </w:r>
          </w:p>
        </w:tc>
        <w:tc>
          <w:tcPr>
            <w:tcW w:w="1308" w:type="pct"/>
            <w:tcBorders>
              <w:top w:val="dotted" w:sz="4" w:space="0" w:color="auto"/>
              <w:left w:val="nil"/>
              <w:bottom w:val="dotted" w:sz="4" w:space="0" w:color="auto"/>
            </w:tcBorders>
            <w:shd w:val="clear" w:color="auto" w:fill="auto"/>
          </w:tcPr>
          <w:p w14:paraId="47373BA2"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5206CA">
              <w:rPr>
                <w:rFonts w:cs="Arial"/>
                <w:sz w:val="16"/>
                <w:szCs w:val="16"/>
              </w:rPr>
              <w:t>367.</w:t>
            </w:r>
            <w:r w:rsidR="00FF5AA3" w:rsidRPr="005206CA">
              <w:rPr>
                <w:rFonts w:cs="Arial"/>
                <w:sz w:val="16"/>
                <w:szCs w:val="16"/>
              </w:rPr>
              <w:t>3</w:t>
            </w:r>
          </w:p>
        </w:tc>
      </w:tr>
      <w:tr w:rsidR="00AC318C" w:rsidRPr="005206CA" w14:paraId="1149176F" w14:textId="77777777" w:rsidTr="00B14932">
        <w:trPr>
          <w:trHeight w:val="85"/>
        </w:trPr>
        <w:tc>
          <w:tcPr>
            <w:cnfStyle w:val="001000000000" w:firstRow="0" w:lastRow="0" w:firstColumn="1" w:lastColumn="0" w:oddVBand="0" w:evenVBand="0" w:oddHBand="0" w:evenHBand="0" w:firstRowFirstColumn="0" w:firstRowLastColumn="0" w:lastRowFirstColumn="0" w:lastRowLastColumn="0"/>
            <w:tcW w:w="1231" w:type="pct"/>
            <w:tcBorders>
              <w:top w:val="dotted" w:sz="4" w:space="0" w:color="auto"/>
              <w:bottom w:val="dotted" w:sz="4" w:space="0" w:color="auto"/>
              <w:right w:val="nil"/>
            </w:tcBorders>
            <w:shd w:val="clear" w:color="auto" w:fill="auto"/>
          </w:tcPr>
          <w:p w14:paraId="322A95A3" w14:textId="77777777" w:rsidR="00AC318C" w:rsidRPr="00F542C7" w:rsidRDefault="00AC318C" w:rsidP="00B14932">
            <w:pPr>
              <w:pStyle w:val="Tabletext"/>
              <w:spacing w:before="40" w:after="40" w:line="200" w:lineRule="exact"/>
              <w:rPr>
                <w:rFonts w:cs="Arial"/>
                <w:sz w:val="16"/>
                <w:szCs w:val="16"/>
              </w:rPr>
            </w:pPr>
            <w:r w:rsidRPr="00BE6007">
              <w:rPr>
                <w:rFonts w:cs="Arial"/>
                <w:sz w:val="16"/>
                <w:szCs w:val="16"/>
              </w:rPr>
              <w:t>April 2017</w:t>
            </w:r>
          </w:p>
        </w:tc>
        <w:tc>
          <w:tcPr>
            <w:tcW w:w="1572" w:type="pct"/>
            <w:tcBorders>
              <w:top w:val="dotted" w:sz="4" w:space="0" w:color="auto"/>
              <w:left w:val="nil"/>
              <w:bottom w:val="dotted" w:sz="4" w:space="0" w:color="auto"/>
              <w:right w:val="nil"/>
            </w:tcBorders>
            <w:shd w:val="clear" w:color="auto" w:fill="auto"/>
          </w:tcPr>
          <w:p w14:paraId="26BB4BCF"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11.3</w:t>
            </w:r>
          </w:p>
        </w:tc>
        <w:tc>
          <w:tcPr>
            <w:tcW w:w="889" w:type="pct"/>
            <w:tcBorders>
              <w:top w:val="dotted" w:sz="4" w:space="0" w:color="auto"/>
              <w:left w:val="nil"/>
              <w:bottom w:val="dotted" w:sz="4" w:space="0" w:color="auto"/>
              <w:right w:val="nil"/>
            </w:tcBorders>
            <w:shd w:val="clear" w:color="auto" w:fill="auto"/>
          </w:tcPr>
          <w:p w14:paraId="7A580383"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11.82</w:t>
            </w:r>
          </w:p>
        </w:tc>
        <w:tc>
          <w:tcPr>
            <w:tcW w:w="1308" w:type="pct"/>
            <w:tcBorders>
              <w:top w:val="dotted" w:sz="4" w:space="0" w:color="auto"/>
              <w:left w:val="nil"/>
              <w:bottom w:val="dotted" w:sz="4" w:space="0" w:color="auto"/>
            </w:tcBorders>
            <w:shd w:val="clear" w:color="auto" w:fill="auto"/>
          </w:tcPr>
          <w:p w14:paraId="1D8BA517" w14:textId="77777777" w:rsidR="00AC318C" w:rsidRPr="005206CA" w:rsidRDefault="00AC318C" w:rsidP="00B14932">
            <w:pPr>
              <w:pStyle w:val="Tabletext"/>
              <w:spacing w:before="40" w:after="40" w:line="200" w:lineRule="exact"/>
              <w:jc w:val="right"/>
              <w:cnfStyle w:val="000000000000" w:firstRow="0" w:lastRow="0" w:firstColumn="0" w:lastColumn="0" w:oddVBand="0" w:evenVBand="0" w:oddHBand="0" w:evenHBand="0" w:firstRowFirstColumn="0" w:firstRowLastColumn="0" w:lastRowFirstColumn="0" w:lastRowLastColumn="0"/>
              <w:rPr>
                <w:rFonts w:cs="Arial"/>
                <w:bCs/>
                <w:caps/>
                <w:sz w:val="16"/>
                <w:szCs w:val="16"/>
              </w:rPr>
            </w:pPr>
            <w:r w:rsidRPr="005206CA">
              <w:rPr>
                <w:rFonts w:cs="Arial"/>
                <w:bCs/>
                <w:caps/>
                <w:sz w:val="16"/>
                <w:szCs w:val="16"/>
              </w:rPr>
              <w:t>133.0</w:t>
            </w:r>
          </w:p>
        </w:tc>
      </w:tr>
      <w:tr w:rsidR="00AC318C" w:rsidRPr="005206CA" w14:paraId="67C2B273" w14:textId="77777777" w:rsidTr="00B1493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pct"/>
            <w:tcBorders>
              <w:top w:val="dotted" w:sz="4" w:space="0" w:color="auto"/>
              <w:bottom w:val="nil"/>
              <w:right w:val="nil"/>
            </w:tcBorders>
            <w:shd w:val="clear" w:color="auto" w:fill="auto"/>
          </w:tcPr>
          <w:p w14:paraId="3C14BA04" w14:textId="77777777" w:rsidR="00AC318C" w:rsidRPr="00F542C7" w:rsidRDefault="00AC318C" w:rsidP="00B14932">
            <w:pPr>
              <w:pStyle w:val="Tabletext"/>
              <w:spacing w:before="40" w:after="40" w:line="200" w:lineRule="exact"/>
              <w:rPr>
                <w:rFonts w:cs="Arial"/>
                <w:sz w:val="16"/>
                <w:szCs w:val="16"/>
              </w:rPr>
            </w:pPr>
            <w:r w:rsidRPr="00BE6007">
              <w:rPr>
                <w:rFonts w:cs="Arial"/>
                <w:sz w:val="16"/>
                <w:szCs w:val="16"/>
              </w:rPr>
              <w:t>Total</w:t>
            </w:r>
          </w:p>
        </w:tc>
        <w:tc>
          <w:tcPr>
            <w:tcW w:w="1572" w:type="pct"/>
            <w:tcBorders>
              <w:top w:val="dotted" w:sz="4" w:space="0" w:color="auto"/>
              <w:left w:val="nil"/>
              <w:bottom w:val="nil"/>
              <w:right w:val="nil"/>
            </w:tcBorders>
            <w:shd w:val="clear" w:color="auto" w:fill="auto"/>
          </w:tcPr>
          <w:p w14:paraId="02310A3E" w14:textId="77777777" w:rsidR="00AC318C" w:rsidRPr="00F542C7" w:rsidRDefault="00AC318C" w:rsidP="00B14932">
            <w:pPr>
              <w:pStyle w:val="Tabletext"/>
              <w:spacing w:before="40" w:after="40" w:line="200" w:lineRule="exact"/>
              <w:jc w:val="right"/>
              <w:cnfStyle w:val="010000000000" w:firstRow="0" w:lastRow="1" w:firstColumn="0" w:lastColumn="0" w:oddVBand="0" w:evenVBand="0" w:oddHBand="0" w:evenHBand="0" w:firstRowFirstColumn="0" w:firstRowLastColumn="0" w:lastRowFirstColumn="0" w:lastRowLastColumn="0"/>
              <w:rPr>
                <w:rFonts w:cs="Arial"/>
                <w:sz w:val="16"/>
                <w:szCs w:val="16"/>
              </w:rPr>
            </w:pPr>
            <w:r w:rsidRPr="00BE6007">
              <w:rPr>
                <w:rFonts w:cs="Arial"/>
                <w:sz w:val="16"/>
                <w:szCs w:val="16"/>
              </w:rPr>
              <w:t xml:space="preserve">188.9 </w:t>
            </w:r>
          </w:p>
        </w:tc>
        <w:tc>
          <w:tcPr>
            <w:tcW w:w="889" w:type="pct"/>
            <w:tcBorders>
              <w:top w:val="dotted" w:sz="4" w:space="0" w:color="auto"/>
              <w:left w:val="nil"/>
              <w:bottom w:val="nil"/>
              <w:right w:val="nil"/>
            </w:tcBorders>
            <w:shd w:val="clear" w:color="auto" w:fill="auto"/>
          </w:tcPr>
          <w:p w14:paraId="2E629762" w14:textId="77777777" w:rsidR="00AC318C" w:rsidRPr="00F542C7" w:rsidRDefault="00AC318C" w:rsidP="00B14932">
            <w:pPr>
              <w:pStyle w:val="Tabletext"/>
              <w:spacing w:before="40" w:after="40" w:line="200" w:lineRule="exact"/>
              <w:jc w:val="right"/>
              <w:cnfStyle w:val="010000000000" w:firstRow="0" w:lastRow="1" w:firstColumn="0" w:lastColumn="0" w:oddVBand="0" w:evenVBand="0" w:oddHBand="0" w:evenHBand="0" w:firstRowFirstColumn="0" w:firstRowLastColumn="0" w:lastRowFirstColumn="0" w:lastRowLastColumn="0"/>
              <w:rPr>
                <w:rFonts w:cs="Arial"/>
                <w:sz w:val="16"/>
                <w:szCs w:val="16"/>
              </w:rPr>
            </w:pPr>
            <w:r w:rsidRPr="00BE6007">
              <w:rPr>
                <w:rFonts w:cs="Arial"/>
                <w:sz w:val="16"/>
                <w:szCs w:val="16"/>
              </w:rPr>
              <w:t xml:space="preserve">11.83 </w:t>
            </w:r>
          </w:p>
        </w:tc>
        <w:tc>
          <w:tcPr>
            <w:tcW w:w="1308" w:type="pct"/>
            <w:tcBorders>
              <w:top w:val="dotted" w:sz="4" w:space="0" w:color="auto"/>
              <w:left w:val="nil"/>
              <w:bottom w:val="nil"/>
            </w:tcBorders>
            <w:shd w:val="clear" w:color="auto" w:fill="auto"/>
          </w:tcPr>
          <w:p w14:paraId="1756608D" w14:textId="77777777" w:rsidR="00AC318C" w:rsidRPr="00F542C7" w:rsidRDefault="00AC318C" w:rsidP="00B14932">
            <w:pPr>
              <w:pStyle w:val="Tabletext"/>
              <w:spacing w:before="40" w:after="40" w:line="200" w:lineRule="exact"/>
              <w:jc w:val="right"/>
              <w:cnfStyle w:val="010000000000" w:firstRow="0" w:lastRow="1" w:firstColumn="0" w:lastColumn="0" w:oddVBand="0" w:evenVBand="0" w:oddHBand="0" w:evenHBand="0" w:firstRowFirstColumn="0" w:firstRowLastColumn="0" w:lastRowFirstColumn="0" w:lastRowLastColumn="0"/>
              <w:rPr>
                <w:rFonts w:cs="Arial"/>
                <w:sz w:val="16"/>
                <w:szCs w:val="16"/>
              </w:rPr>
            </w:pPr>
            <w:r w:rsidRPr="00BE6007">
              <w:rPr>
                <w:rFonts w:cs="Arial"/>
                <w:sz w:val="16"/>
                <w:szCs w:val="16"/>
              </w:rPr>
              <w:t>2,233.</w:t>
            </w:r>
            <w:r w:rsidR="00FF5AA3" w:rsidRPr="00BE6007">
              <w:rPr>
                <w:rFonts w:cs="Arial"/>
                <w:sz w:val="16"/>
                <w:szCs w:val="16"/>
              </w:rPr>
              <w:t>7</w:t>
            </w:r>
            <w:r w:rsidRPr="00BE6007">
              <w:rPr>
                <w:rFonts w:cs="Arial"/>
                <w:sz w:val="16"/>
                <w:szCs w:val="16"/>
              </w:rPr>
              <w:t xml:space="preserve"> </w:t>
            </w:r>
          </w:p>
        </w:tc>
      </w:tr>
    </w:tbl>
    <w:p w14:paraId="66DDD05F" w14:textId="5D6C0313" w:rsidR="00056722" w:rsidRPr="005206CA" w:rsidRDefault="002F6EEC" w:rsidP="00090EC5">
      <w:pPr>
        <w:pStyle w:val="Footnote"/>
        <w:spacing w:after="0"/>
      </w:pPr>
      <w:r w:rsidRPr="005206CA">
        <w:rPr>
          <w:b/>
        </w:rPr>
        <w:t>Note</w:t>
      </w:r>
      <w:r w:rsidRPr="005206CA">
        <w:t>: Eight contracts, amounting to 5</w:t>
      </w:r>
      <w:r w:rsidR="003D3209">
        <w:t xml:space="preserve"> </w:t>
      </w:r>
      <w:r w:rsidRPr="005206CA">
        <w:t xml:space="preserve">Mt of </w:t>
      </w:r>
      <w:r w:rsidR="004F2ABF" w:rsidRPr="005206CA">
        <w:t>abatement</w:t>
      </w:r>
      <w:r w:rsidRPr="005206CA">
        <w:t>, have lapsed or</w:t>
      </w:r>
      <w:r w:rsidR="00E813AD" w:rsidRPr="005206CA">
        <w:t xml:space="preserve"> have been</w:t>
      </w:r>
      <w:r w:rsidRPr="005206CA">
        <w:t xml:space="preserve"> terminated after auction. This reduce</w:t>
      </w:r>
      <w:r w:rsidR="00DA0873" w:rsidRPr="005206CA">
        <w:t>s</w:t>
      </w:r>
      <w:r w:rsidRPr="005206CA">
        <w:t xml:space="preserve"> the total volume of abatement </w:t>
      </w:r>
      <w:r w:rsidR="00DA0873" w:rsidRPr="005206CA">
        <w:t xml:space="preserve">left under </w:t>
      </w:r>
      <w:r w:rsidRPr="005206CA">
        <w:t>contract, the total cost and average price. Data on the value of these contracts is not available.</w:t>
      </w:r>
      <w:r w:rsidR="008E166E" w:rsidRPr="008E166E">
        <w:t xml:space="preserve"> </w:t>
      </w:r>
      <w:r w:rsidR="008E166E" w:rsidRPr="005206CA">
        <w:t>Data as at 16 November 2017.</w:t>
      </w:r>
    </w:p>
    <w:p w14:paraId="71692BB2" w14:textId="6C76A59F" w:rsidR="00AC318C" w:rsidRPr="005206CA" w:rsidRDefault="00AC318C" w:rsidP="00AC7279">
      <w:pPr>
        <w:pStyle w:val="Footnote"/>
        <w:spacing w:after="0"/>
      </w:pPr>
      <w:r w:rsidRPr="005206CA">
        <w:rPr>
          <w:b/>
        </w:rPr>
        <w:t>Source</w:t>
      </w:r>
      <w:r w:rsidRPr="005206CA">
        <w:t xml:space="preserve">: </w:t>
      </w:r>
      <w:r w:rsidR="00AD5389" w:rsidRPr="005206CA">
        <w:t xml:space="preserve">Climate Change Authority based on CER </w:t>
      </w:r>
      <w:r w:rsidR="00B4754E" w:rsidRPr="005206CA">
        <w:t>2017k</w:t>
      </w:r>
      <w:r w:rsidR="00A36282">
        <w:t>; CER 2017</w:t>
      </w:r>
      <w:r w:rsidR="00D92544">
        <w:t>n</w:t>
      </w:r>
      <w:r w:rsidR="00AD5389" w:rsidRPr="005206CA">
        <w:t xml:space="preserve">. </w:t>
      </w:r>
    </w:p>
    <w:p w14:paraId="6ABE3503" w14:textId="77777777" w:rsidR="006D0CD4" w:rsidRPr="005206CA" w:rsidRDefault="00AC318C">
      <w:pPr>
        <w:pStyle w:val="Heading3"/>
      </w:pPr>
      <w:bookmarkStart w:id="198" w:name="_Ref500248046"/>
      <w:r w:rsidRPr="005206CA">
        <w:t>Safeguard mechanism</w:t>
      </w:r>
      <w:bookmarkEnd w:id="198"/>
    </w:p>
    <w:p w14:paraId="1E049CEB" w14:textId="0589B42B" w:rsidR="006D0CD4" w:rsidRPr="005206CA" w:rsidRDefault="006D0CD4" w:rsidP="006D0CD4">
      <w:r w:rsidRPr="005206CA">
        <w:t>The safeguard mechanism is designed to ensure emission</w:t>
      </w:r>
      <w:r w:rsidR="00414F24" w:rsidRPr="005206CA">
        <w:t>s</w:t>
      </w:r>
      <w:r w:rsidRPr="005206CA">
        <w:t xml:space="preserve"> reductions purchased by the Government are not offset by significant increases </w:t>
      </w:r>
      <w:r w:rsidR="00A73484" w:rsidRPr="005206CA">
        <w:t>above business</w:t>
      </w:r>
      <w:r w:rsidR="000E6CCB">
        <w:t xml:space="preserve"> </w:t>
      </w:r>
      <w:r w:rsidR="00A73484" w:rsidRPr="005206CA">
        <w:t>as</w:t>
      </w:r>
      <w:r w:rsidR="000E6CCB">
        <w:t xml:space="preserve"> </w:t>
      </w:r>
      <w:r w:rsidR="00A73484" w:rsidRPr="005206CA">
        <w:t xml:space="preserve">usual levels </w:t>
      </w:r>
      <w:r w:rsidRPr="005206CA">
        <w:t>elsewhere in the economy. Baselines, or regulatory limits, are set for facilities that emit over 100,000</w:t>
      </w:r>
      <w:r w:rsidR="00CC29F5" w:rsidRPr="005206CA">
        <w:t> </w:t>
      </w:r>
      <w:r w:rsidRPr="005206CA">
        <w:t>t</w:t>
      </w:r>
      <w:r w:rsidR="00CC29F5" w:rsidRPr="005206CA">
        <w:t> </w:t>
      </w:r>
      <w:r w:rsidRPr="005206CA">
        <w:t>CO</w:t>
      </w:r>
      <w:r w:rsidRPr="005206CA">
        <w:rPr>
          <w:vertAlign w:val="subscript"/>
        </w:rPr>
        <w:t>2</w:t>
      </w:r>
      <w:r w:rsidRPr="005206CA">
        <w:t xml:space="preserve">-e a year in the electricity generation, mining, oil, gas, manufacturing, transport, construction and waste sectors. If a facility’s emissions </w:t>
      </w:r>
      <w:r w:rsidR="00FB4207">
        <w:t>are expected to</w:t>
      </w:r>
      <w:r w:rsidRPr="005206CA">
        <w:t xml:space="preserve"> exceed its baseline, firms are able to purchase ACCUs to offset emissions above the baseline or reduce their emissions through other means (</w:t>
      </w:r>
      <w:r w:rsidRPr="005206CA">
        <w:rPr>
          <w:i/>
        </w:rPr>
        <w:t>N</w:t>
      </w:r>
      <w:r w:rsidR="000A3118" w:rsidRPr="005206CA">
        <w:rPr>
          <w:i/>
        </w:rPr>
        <w:t xml:space="preserve">ational </w:t>
      </w:r>
      <w:r w:rsidRPr="005206CA">
        <w:rPr>
          <w:i/>
        </w:rPr>
        <w:t>G</w:t>
      </w:r>
      <w:r w:rsidR="000A3118" w:rsidRPr="005206CA">
        <w:rPr>
          <w:i/>
        </w:rPr>
        <w:t xml:space="preserve">reenhouse and </w:t>
      </w:r>
      <w:r w:rsidRPr="005206CA">
        <w:rPr>
          <w:i/>
        </w:rPr>
        <w:t>E</w:t>
      </w:r>
      <w:r w:rsidR="000A3118" w:rsidRPr="005206CA">
        <w:rPr>
          <w:i/>
        </w:rPr>
        <w:t xml:space="preserve">nergy </w:t>
      </w:r>
      <w:r w:rsidRPr="005206CA">
        <w:rPr>
          <w:i/>
        </w:rPr>
        <w:t>R</w:t>
      </w:r>
      <w:r w:rsidR="000A3118" w:rsidRPr="005206CA">
        <w:rPr>
          <w:i/>
        </w:rPr>
        <w:t>eporting</w:t>
      </w:r>
      <w:r w:rsidRPr="005206CA">
        <w:rPr>
          <w:i/>
        </w:rPr>
        <w:t xml:space="preserve"> Act</w:t>
      </w:r>
      <w:r w:rsidR="000A3118" w:rsidRPr="005206CA">
        <w:rPr>
          <w:i/>
        </w:rPr>
        <w:t xml:space="preserve"> 2007</w:t>
      </w:r>
      <w:r w:rsidR="000A3118" w:rsidRPr="005206CA">
        <w:t xml:space="preserve"> (Cth)</w:t>
      </w:r>
      <w:r w:rsidRPr="005206CA">
        <w:t>).</w:t>
      </w:r>
    </w:p>
    <w:p w14:paraId="32049B45" w14:textId="77777777" w:rsidR="006D0CD4" w:rsidRPr="005206CA" w:rsidRDefault="006D0CD4" w:rsidP="006D0CD4">
      <w:r w:rsidRPr="005206CA">
        <w:t xml:space="preserve">The safeguard mechanism is established in the NGER Act and commenced on 1 July 2016. While an element of the ERF, the safeguard functions largely as a separate scheme and it will be reviewed by the Authority in 2018 as part of its review of the NGER legislation. </w:t>
      </w:r>
    </w:p>
    <w:p w14:paraId="75C56CDF" w14:textId="4D22F4C7" w:rsidR="006D0CD4" w:rsidRPr="005206CA" w:rsidRDefault="00AC318C">
      <w:pPr>
        <w:pStyle w:val="Heading2"/>
      </w:pPr>
      <w:bookmarkStart w:id="199" w:name="_Toc497819453"/>
      <w:bookmarkStart w:id="200" w:name="_Toc498691519"/>
      <w:bookmarkStart w:id="201" w:name="_Toc499043700"/>
      <w:bookmarkStart w:id="202" w:name="_Toc499051726"/>
      <w:bookmarkStart w:id="203" w:name="_Toc500251076"/>
      <w:bookmarkStart w:id="204" w:name="_Toc500251351"/>
      <w:bookmarkStart w:id="205" w:name="_Toc500253948"/>
      <w:bookmarkStart w:id="206" w:name="_Toc500401455"/>
      <w:bookmarkStart w:id="207" w:name="_Toc500490940"/>
      <w:bookmarkStart w:id="208" w:name="_Toc500512882"/>
      <w:bookmarkStart w:id="209" w:name="_Toc500514137"/>
      <w:bookmarkStart w:id="210" w:name="_Toc500516194"/>
      <w:r w:rsidRPr="005206CA">
        <w:t>The C</w:t>
      </w:r>
      <w:r w:rsidR="00AC20A6" w:rsidRPr="005206CA">
        <w:t xml:space="preserve">arbon </w:t>
      </w:r>
      <w:r w:rsidRPr="005206CA">
        <w:t>F</w:t>
      </w:r>
      <w:r w:rsidR="00AC20A6" w:rsidRPr="005206CA">
        <w:t xml:space="preserve">arming </w:t>
      </w:r>
      <w:r w:rsidRPr="005206CA">
        <w:t>I</w:t>
      </w:r>
      <w:r w:rsidR="00AC20A6" w:rsidRPr="005206CA">
        <w:t>nitiative</w:t>
      </w:r>
      <w:r w:rsidRPr="005206CA">
        <w:t xml:space="preserve"> transition to the E</w:t>
      </w:r>
      <w:r w:rsidR="00AC20A6" w:rsidRPr="005206CA">
        <w:t xml:space="preserve">missions </w:t>
      </w:r>
      <w:r w:rsidRPr="005206CA">
        <w:t>R</w:t>
      </w:r>
      <w:r w:rsidR="00AC20A6" w:rsidRPr="005206CA">
        <w:t xml:space="preserve">eduction </w:t>
      </w:r>
      <w:r w:rsidRPr="005206CA">
        <w:t>F</w:t>
      </w:r>
      <w:bookmarkEnd w:id="199"/>
      <w:bookmarkEnd w:id="200"/>
      <w:bookmarkEnd w:id="201"/>
      <w:bookmarkEnd w:id="202"/>
      <w:r w:rsidR="00AC20A6" w:rsidRPr="005206CA">
        <w:t>und</w:t>
      </w:r>
      <w:bookmarkEnd w:id="203"/>
      <w:bookmarkEnd w:id="204"/>
      <w:bookmarkEnd w:id="205"/>
      <w:bookmarkEnd w:id="206"/>
      <w:bookmarkEnd w:id="207"/>
      <w:bookmarkEnd w:id="208"/>
      <w:bookmarkEnd w:id="209"/>
      <w:bookmarkEnd w:id="210"/>
    </w:p>
    <w:p w14:paraId="31EE99CE" w14:textId="77777777" w:rsidR="006D0CD4" w:rsidRPr="005206CA" w:rsidRDefault="006D0CD4" w:rsidP="006D0CD4">
      <w:r w:rsidRPr="005206CA">
        <w:t>The CFI, which ran between September 2011 and December 2014, was originally designed as a voluntary carbon offset scheme for the land sector to complement the carbon pricing mechanism (an emissions trading scheme). CFI projects covered the landfill waste, land, forestry and agriculture sectors.</w:t>
      </w:r>
    </w:p>
    <w:p w14:paraId="298F31CE" w14:textId="151E316F" w:rsidR="006D0CD4" w:rsidRPr="005206CA" w:rsidRDefault="006D0CD4" w:rsidP="006D0CD4">
      <w:r w:rsidRPr="005206CA">
        <w:t xml:space="preserve">Firms in the sectors covered by the carbon pricing mechanism (such as electricity generation, transport, manufacturing and industrial processes) could buy </w:t>
      </w:r>
      <w:r w:rsidR="002B73FA" w:rsidRPr="005206CA">
        <w:t>ACCUs</w:t>
      </w:r>
      <w:r w:rsidRPr="005206CA">
        <w:t xml:space="preserve"> from CFI projects and use these to meet their carbon price liability. In 2014 the CFI was amended to become the ERF and eligible CFI projects transitioned into the new scheme. Project crediting under the ERF was also broadened to cover all sectors of the economy. The legislative amendments to establish the ERF created new arrangements for auctions and Government </w:t>
      </w:r>
      <w:r w:rsidR="00FB4207">
        <w:t>purchase</w:t>
      </w:r>
      <w:r w:rsidRPr="005206CA">
        <w:t>, administered by the CER. The ERF amendments also sought to streamline or improve some CFI requirements such as reporting and auditing (</w:t>
      </w:r>
      <w:r w:rsidRPr="00AC7279">
        <w:rPr>
          <w:rStyle w:val="SectionChapterChar"/>
        </w:rPr>
        <w:t xml:space="preserve">Section </w:t>
      </w:r>
      <w:r w:rsidR="00FE1F2B" w:rsidRPr="005206CA">
        <w:rPr>
          <w:rStyle w:val="SectionChapterChar"/>
        </w:rPr>
        <w:fldChar w:fldCharType="begin"/>
      </w:r>
      <w:r w:rsidR="00FE1F2B" w:rsidRPr="005206CA">
        <w:rPr>
          <w:rStyle w:val="SectionChapterChar"/>
        </w:rPr>
        <w:instrText xml:space="preserve"> REF _Ref500244067 \r \h </w:instrText>
      </w:r>
      <w:r w:rsidR="005206CA">
        <w:rPr>
          <w:rStyle w:val="SectionChapterChar"/>
        </w:rPr>
        <w:instrText xml:space="preserve"> \* MERGEFORMAT </w:instrText>
      </w:r>
      <w:r w:rsidR="00FE1F2B" w:rsidRPr="005206CA">
        <w:rPr>
          <w:rStyle w:val="SectionChapterChar"/>
        </w:rPr>
      </w:r>
      <w:r w:rsidR="00FE1F2B" w:rsidRPr="005206CA">
        <w:rPr>
          <w:rStyle w:val="SectionChapterChar"/>
        </w:rPr>
        <w:fldChar w:fldCharType="separate"/>
      </w:r>
      <w:r w:rsidR="00FA2002">
        <w:rPr>
          <w:rStyle w:val="SectionChapterChar"/>
        </w:rPr>
        <w:t>8.5</w:t>
      </w:r>
      <w:r w:rsidR="00FE1F2B" w:rsidRPr="005206CA">
        <w:rPr>
          <w:rStyle w:val="SectionChapterChar"/>
        </w:rPr>
        <w:fldChar w:fldCharType="end"/>
      </w:r>
      <w:r w:rsidRPr="005206CA">
        <w:t>).</w:t>
      </w:r>
    </w:p>
    <w:p w14:paraId="757667A0" w14:textId="05E2846B" w:rsidR="006D0CD4" w:rsidRPr="005206CA" w:rsidRDefault="00513EF0">
      <w:pPr>
        <w:pStyle w:val="Heading2"/>
      </w:pPr>
      <w:bookmarkStart w:id="211" w:name="_Toc497819454"/>
      <w:bookmarkStart w:id="212" w:name="_Toc498691520"/>
      <w:bookmarkStart w:id="213" w:name="_Toc499043701"/>
      <w:bookmarkStart w:id="214" w:name="_Toc499051727"/>
      <w:bookmarkStart w:id="215" w:name="_Ref500248207"/>
      <w:bookmarkStart w:id="216" w:name="_Toc500251077"/>
      <w:bookmarkStart w:id="217" w:name="_Toc500251352"/>
      <w:bookmarkStart w:id="218" w:name="_Toc500253949"/>
      <w:bookmarkStart w:id="219" w:name="_Toc500401456"/>
      <w:bookmarkStart w:id="220" w:name="_Toc500490941"/>
      <w:bookmarkStart w:id="221" w:name="_Toc500512883"/>
      <w:bookmarkStart w:id="222" w:name="_Toc500514138"/>
      <w:bookmarkStart w:id="223" w:name="_Toc500516195"/>
      <w:r w:rsidRPr="005206CA">
        <w:t>Governance of the E</w:t>
      </w:r>
      <w:r w:rsidR="00AC20A6" w:rsidRPr="005206CA">
        <w:t xml:space="preserve">missions </w:t>
      </w:r>
      <w:r w:rsidRPr="005206CA">
        <w:t>R</w:t>
      </w:r>
      <w:r w:rsidR="00AC20A6" w:rsidRPr="005206CA">
        <w:t xml:space="preserve">eduction </w:t>
      </w:r>
      <w:r w:rsidRPr="005206CA">
        <w:t>F</w:t>
      </w:r>
      <w:bookmarkEnd w:id="211"/>
      <w:bookmarkEnd w:id="212"/>
      <w:bookmarkEnd w:id="213"/>
      <w:bookmarkEnd w:id="214"/>
      <w:r w:rsidR="00AC20A6" w:rsidRPr="005206CA">
        <w:t>und</w:t>
      </w:r>
      <w:bookmarkEnd w:id="215"/>
      <w:bookmarkEnd w:id="216"/>
      <w:bookmarkEnd w:id="217"/>
      <w:bookmarkEnd w:id="218"/>
      <w:bookmarkEnd w:id="219"/>
      <w:bookmarkEnd w:id="220"/>
      <w:bookmarkEnd w:id="221"/>
      <w:bookmarkEnd w:id="222"/>
      <w:bookmarkEnd w:id="223"/>
      <w:r w:rsidRPr="005206CA">
        <w:t xml:space="preserve"> </w:t>
      </w:r>
    </w:p>
    <w:p w14:paraId="5A726361" w14:textId="3D3065B2" w:rsidR="006D0CD4" w:rsidRPr="005206CA" w:rsidRDefault="006D0CD4" w:rsidP="006D0CD4">
      <w:r w:rsidRPr="005206CA">
        <w:t>The CER, the Department and the Emissions Reduction Assurance Committee (ERAC) all have role</w:t>
      </w:r>
      <w:r w:rsidR="0081456B">
        <w:t>s</w:t>
      </w:r>
      <w:r w:rsidRPr="005206CA">
        <w:t xml:space="preserve"> in the ERF (</w:t>
      </w:r>
      <w:r w:rsidR="00F610FD" w:rsidRPr="00AC7279">
        <w:rPr>
          <w:rStyle w:val="SectionChapterChar"/>
        </w:rPr>
        <w:fldChar w:fldCharType="begin"/>
      </w:r>
      <w:r w:rsidR="00F610FD" w:rsidRPr="00AC7279">
        <w:rPr>
          <w:rStyle w:val="SectionChapterChar"/>
        </w:rPr>
        <w:instrText xml:space="preserve"> REF _Ref497377695 \n \h </w:instrText>
      </w:r>
      <w:r w:rsidR="0002132E" w:rsidRPr="00AC7279">
        <w:rPr>
          <w:rStyle w:val="SectionChapterChar"/>
        </w:rPr>
        <w:instrText xml:space="preserve"> \* MERGEFORMAT </w:instrText>
      </w:r>
      <w:r w:rsidR="00F610FD" w:rsidRPr="00AC7279">
        <w:rPr>
          <w:rStyle w:val="SectionChapterChar"/>
        </w:rPr>
      </w:r>
      <w:r w:rsidR="00F610FD" w:rsidRPr="00AC7279">
        <w:rPr>
          <w:rStyle w:val="SectionChapterChar"/>
        </w:rPr>
        <w:fldChar w:fldCharType="separate"/>
      </w:r>
      <w:r w:rsidR="00FA2002">
        <w:rPr>
          <w:rStyle w:val="SectionChapterChar"/>
        </w:rPr>
        <w:t>Chapter 12</w:t>
      </w:r>
      <w:r w:rsidR="00F610FD" w:rsidRPr="00AC7279">
        <w:rPr>
          <w:rStyle w:val="SectionChapterChar"/>
        </w:rPr>
        <w:fldChar w:fldCharType="end"/>
      </w:r>
      <w:r w:rsidRPr="005206CA">
        <w:t xml:space="preserve">). </w:t>
      </w:r>
    </w:p>
    <w:p w14:paraId="715B5C9F" w14:textId="77777777" w:rsidR="006D0CD4" w:rsidRPr="005206CA" w:rsidRDefault="00513EF0">
      <w:pPr>
        <w:pStyle w:val="Heading3"/>
      </w:pPr>
      <w:r w:rsidRPr="005206CA">
        <w:t>The Clean Energy Regulator</w:t>
      </w:r>
    </w:p>
    <w:p w14:paraId="58FD3E8A" w14:textId="08D495FE" w:rsidR="006D0CD4" w:rsidRPr="005206CA" w:rsidRDefault="006D0CD4" w:rsidP="006D0CD4">
      <w:r w:rsidRPr="005206CA">
        <w:t xml:space="preserve">The CER is responsible for the administration of the ERF, including key elements of the crediting and purchasing </w:t>
      </w:r>
      <w:r w:rsidR="00126DF6">
        <w:t>aspects</w:t>
      </w:r>
      <w:r w:rsidR="00126DF6" w:rsidRPr="005206CA">
        <w:t xml:space="preserve"> </w:t>
      </w:r>
      <w:r w:rsidRPr="005206CA">
        <w:t>of the scheme. These include the registration of projects, the conduct of auctions and purchasing, the management of contracts and the issu</w:t>
      </w:r>
      <w:r w:rsidR="00A668DB" w:rsidRPr="005206CA">
        <w:t>ance</w:t>
      </w:r>
      <w:r w:rsidRPr="005206CA">
        <w:t xml:space="preserve"> of ACCUs to </w:t>
      </w:r>
      <w:r w:rsidR="001213C9">
        <w:t>scheme</w:t>
      </w:r>
      <w:r w:rsidRPr="005206CA">
        <w:t xml:space="preserve"> participants. The CER is also responsible for monitoring and compliance with the rules of the scheme, as well as pursuing breaches of these rules if they occur.</w:t>
      </w:r>
    </w:p>
    <w:p w14:paraId="06551ADD" w14:textId="6DE9F7F1" w:rsidR="006D0CD4" w:rsidRPr="005206CA" w:rsidRDefault="00E84A23">
      <w:pPr>
        <w:pStyle w:val="Heading3"/>
      </w:pPr>
      <w:r w:rsidRPr="005206CA">
        <w:t>T</w:t>
      </w:r>
      <w:r w:rsidR="00513EF0" w:rsidRPr="005206CA">
        <w:t>he Department of the Environment and Energy</w:t>
      </w:r>
    </w:p>
    <w:p w14:paraId="09F444E3" w14:textId="3A9F081A" w:rsidR="006D0CD4" w:rsidRPr="005206CA" w:rsidRDefault="006D0CD4" w:rsidP="006D0CD4">
      <w:r w:rsidRPr="005206CA">
        <w:t xml:space="preserve">The </w:t>
      </w:r>
      <w:r w:rsidR="00F37384" w:rsidRPr="005206CA">
        <w:t>Department</w:t>
      </w:r>
      <w:r w:rsidRPr="005206CA">
        <w:t xml:space="preserve"> develops new methods for inclusion in the ERF and is responsible for policy development for the scheme as a whole. In scoping and developing new methods, the </w:t>
      </w:r>
      <w:r w:rsidR="00F37384" w:rsidRPr="005206CA">
        <w:t>Department</w:t>
      </w:r>
      <w:r w:rsidRPr="005206CA">
        <w:t xml:space="preserve"> seeks advice from the CER and </w:t>
      </w:r>
      <w:r w:rsidR="000A3118" w:rsidRPr="005206CA">
        <w:t xml:space="preserve">the </w:t>
      </w:r>
      <w:r w:rsidRPr="005206CA">
        <w:t xml:space="preserve">ERAC. The </w:t>
      </w:r>
      <w:r w:rsidR="00F37384" w:rsidRPr="005206CA">
        <w:t>Department</w:t>
      </w:r>
      <w:r w:rsidRPr="005206CA">
        <w:t xml:space="preserve"> also provides secretariat support for </w:t>
      </w:r>
      <w:r w:rsidR="000A3118" w:rsidRPr="005206CA">
        <w:t xml:space="preserve">the </w:t>
      </w:r>
      <w:r w:rsidRPr="005206CA">
        <w:t xml:space="preserve">ERAC and is the point of contact for stakeholders in their dealings with </w:t>
      </w:r>
      <w:r w:rsidR="00F37384" w:rsidRPr="005206CA">
        <w:t xml:space="preserve">the </w:t>
      </w:r>
      <w:r w:rsidRPr="005206CA">
        <w:t xml:space="preserve">ERAC. </w:t>
      </w:r>
    </w:p>
    <w:p w14:paraId="7B037F92" w14:textId="77777777" w:rsidR="006D0CD4" w:rsidRPr="005206CA" w:rsidRDefault="00405CE9">
      <w:pPr>
        <w:pStyle w:val="Heading3"/>
      </w:pPr>
      <w:r w:rsidRPr="005206CA">
        <w:t>The Emissions Reduction Assurance Committee</w:t>
      </w:r>
    </w:p>
    <w:p w14:paraId="5041EC57" w14:textId="70D84310" w:rsidR="006D0CD4" w:rsidRPr="005206CA" w:rsidRDefault="00F37384" w:rsidP="006D0CD4">
      <w:r w:rsidRPr="005206CA">
        <w:t xml:space="preserve">The </w:t>
      </w:r>
      <w:r w:rsidR="006D0CD4" w:rsidRPr="005206CA">
        <w:t xml:space="preserve">ERAC is an independent, expert committee responsible for assessing whether methods developed by the </w:t>
      </w:r>
      <w:r w:rsidRPr="005206CA">
        <w:t>Department</w:t>
      </w:r>
      <w:r w:rsidR="006D0CD4" w:rsidRPr="005206CA">
        <w:t xml:space="preserve"> meet the ERF’s offsets integrity standards. </w:t>
      </w:r>
      <w:r w:rsidRPr="005206CA">
        <w:t xml:space="preserve">The </w:t>
      </w:r>
      <w:r w:rsidR="006D0CD4" w:rsidRPr="005206CA">
        <w:t>ERAC conducts periodic reviews of ERF methods to assess their ongoing effectiveness, and provides advice to the Minister on whether a method should be made, varied or continue to be part of the ERF (</w:t>
      </w:r>
      <w:r w:rsidR="006D0CD4" w:rsidRPr="00AC7279">
        <w:rPr>
          <w:rStyle w:val="SectionChapterChar"/>
        </w:rPr>
        <w:t xml:space="preserve">Section </w:t>
      </w:r>
      <w:r w:rsidR="00F519C8">
        <w:rPr>
          <w:rStyle w:val="SectionChapterChar"/>
        </w:rPr>
        <w:fldChar w:fldCharType="begin"/>
      </w:r>
      <w:r w:rsidR="00F519C8">
        <w:rPr>
          <w:rStyle w:val="SectionChapterChar"/>
        </w:rPr>
        <w:instrText xml:space="preserve"> REF _Ref500323413 \n \h </w:instrText>
      </w:r>
      <w:r w:rsidR="00F519C8">
        <w:rPr>
          <w:rStyle w:val="SectionChapterChar"/>
        </w:rPr>
      </w:r>
      <w:r w:rsidR="00F519C8">
        <w:rPr>
          <w:rStyle w:val="SectionChapterChar"/>
        </w:rPr>
        <w:fldChar w:fldCharType="separate"/>
      </w:r>
      <w:r w:rsidR="00FA2002">
        <w:rPr>
          <w:rStyle w:val="SectionChapterChar"/>
        </w:rPr>
        <w:t>3.7</w:t>
      </w:r>
      <w:r w:rsidR="00F519C8">
        <w:rPr>
          <w:rStyle w:val="SectionChapterChar"/>
        </w:rPr>
        <w:fldChar w:fldCharType="end"/>
      </w:r>
      <w:r w:rsidR="006D0CD4" w:rsidRPr="005206CA">
        <w:t xml:space="preserve">). </w:t>
      </w:r>
    </w:p>
    <w:p w14:paraId="0C149974" w14:textId="77777777" w:rsidR="006D0CD4" w:rsidRPr="005206CA" w:rsidRDefault="004E65ED">
      <w:pPr>
        <w:pStyle w:val="Heading2"/>
      </w:pPr>
      <w:bookmarkStart w:id="224" w:name="_Toc497819455"/>
      <w:bookmarkStart w:id="225" w:name="_Toc498691521"/>
      <w:bookmarkStart w:id="226" w:name="_Toc499043702"/>
      <w:bookmarkStart w:id="227" w:name="_Toc499051728"/>
      <w:bookmarkStart w:id="228" w:name="_Ref500248715"/>
      <w:bookmarkStart w:id="229" w:name="_Toc500251078"/>
      <w:bookmarkStart w:id="230" w:name="_Toc500251353"/>
      <w:bookmarkStart w:id="231" w:name="_Toc500253950"/>
      <w:bookmarkStart w:id="232" w:name="_Toc500401457"/>
      <w:bookmarkStart w:id="233" w:name="_Toc500490942"/>
      <w:bookmarkStart w:id="234" w:name="_Toc500512884"/>
      <w:bookmarkStart w:id="235" w:name="_Toc500514139"/>
      <w:bookmarkStart w:id="236" w:name="_Toc500516196"/>
      <w:r w:rsidRPr="005206CA">
        <w:t>International context</w:t>
      </w:r>
      <w:bookmarkEnd w:id="224"/>
      <w:bookmarkEnd w:id="225"/>
      <w:bookmarkEnd w:id="226"/>
      <w:bookmarkEnd w:id="227"/>
      <w:bookmarkEnd w:id="228"/>
      <w:bookmarkEnd w:id="229"/>
      <w:bookmarkEnd w:id="230"/>
      <w:bookmarkEnd w:id="231"/>
      <w:bookmarkEnd w:id="232"/>
      <w:bookmarkEnd w:id="233"/>
      <w:bookmarkEnd w:id="234"/>
      <w:bookmarkEnd w:id="235"/>
      <w:bookmarkEnd w:id="236"/>
    </w:p>
    <w:p w14:paraId="0D4FB46F" w14:textId="79638E41" w:rsidR="006D0CD4" w:rsidRPr="005206CA" w:rsidRDefault="006D0CD4" w:rsidP="006D0CD4">
      <w:r w:rsidRPr="005206CA">
        <w:t xml:space="preserve">A number of international offset standards and markets currently exist. These include the Verified Carbon Standard, the Gold Standard, and the Clean Development Mechanism. In 2016 around 155 million tonnes of carbon credits were </w:t>
      </w:r>
      <w:r w:rsidR="00C92EA0" w:rsidRPr="005206CA">
        <w:t>generated</w:t>
      </w:r>
      <w:r w:rsidRPr="005206CA">
        <w:t xml:space="preserve"> globally under these markets (</w:t>
      </w:r>
      <w:r w:rsidRPr="005206CA">
        <w:rPr>
          <w:rStyle w:val="In-textChar"/>
        </w:rPr>
        <w:t>Gold Standard 2017</w:t>
      </w:r>
      <w:r w:rsidRPr="005206CA">
        <w:t xml:space="preserve">; </w:t>
      </w:r>
      <w:r w:rsidRPr="005206CA">
        <w:rPr>
          <w:rStyle w:val="In-textChar"/>
        </w:rPr>
        <w:t>UNFCCC 2017</w:t>
      </w:r>
      <w:r w:rsidRPr="005206CA">
        <w:t xml:space="preserve">; </w:t>
      </w:r>
      <w:r w:rsidRPr="005206CA">
        <w:rPr>
          <w:rStyle w:val="In-textChar"/>
        </w:rPr>
        <w:t>VCS 2017</w:t>
      </w:r>
      <w:r w:rsidRPr="005206CA">
        <w:t>). Each offset market uses a different standard, however, all aim to produce real and addit</w:t>
      </w:r>
      <w:r w:rsidR="00C1613E" w:rsidRPr="005206CA">
        <w:t xml:space="preserve">ional emissions reductions. </w:t>
      </w:r>
      <w:r w:rsidRPr="005206CA">
        <w:t xml:space="preserve">ERF methods were developed to meet Australian conditions and the offsets integrity standards under the </w:t>
      </w:r>
      <w:r w:rsidRPr="005206CA">
        <w:rPr>
          <w:i/>
        </w:rPr>
        <w:t>C</w:t>
      </w:r>
      <w:r w:rsidR="000A3118" w:rsidRPr="005206CA">
        <w:rPr>
          <w:i/>
        </w:rPr>
        <w:t xml:space="preserve">arbon Credits (Carbon </w:t>
      </w:r>
      <w:r w:rsidRPr="005206CA">
        <w:rPr>
          <w:i/>
        </w:rPr>
        <w:t>F</w:t>
      </w:r>
      <w:r w:rsidR="000A3118" w:rsidRPr="005206CA">
        <w:rPr>
          <w:i/>
        </w:rPr>
        <w:t xml:space="preserve">arming </w:t>
      </w:r>
      <w:r w:rsidRPr="005206CA">
        <w:rPr>
          <w:i/>
        </w:rPr>
        <w:t>I</w:t>
      </w:r>
      <w:r w:rsidR="000A3118" w:rsidRPr="005206CA">
        <w:rPr>
          <w:i/>
        </w:rPr>
        <w:t>nitiative)</w:t>
      </w:r>
      <w:r w:rsidRPr="005206CA">
        <w:rPr>
          <w:i/>
        </w:rPr>
        <w:t xml:space="preserve"> Act</w:t>
      </w:r>
      <w:r w:rsidR="000A3118" w:rsidRPr="005206CA">
        <w:t xml:space="preserve"> </w:t>
      </w:r>
      <w:r w:rsidR="000A3118" w:rsidRPr="00AC7279">
        <w:rPr>
          <w:i/>
        </w:rPr>
        <w:t>2011</w:t>
      </w:r>
      <w:r w:rsidR="00236CD5" w:rsidRPr="005206CA">
        <w:t xml:space="preserve"> (</w:t>
      </w:r>
      <w:r w:rsidR="00236CD5" w:rsidRPr="005206CA">
        <w:rPr>
          <w:rStyle w:val="In-textChar"/>
        </w:rPr>
        <w:t>Cth</w:t>
      </w:r>
      <w:r w:rsidR="00236CD5" w:rsidRPr="005206CA">
        <w:t>)</w:t>
      </w:r>
      <w:r w:rsidRPr="005206CA">
        <w:t>, however, international standards were considered by the Department where relevant (</w:t>
      </w:r>
      <w:r w:rsidRPr="005206CA">
        <w:rPr>
          <w:rStyle w:val="In-textChar"/>
        </w:rPr>
        <w:t>DoE 2015</w:t>
      </w:r>
      <w:r w:rsidRPr="005206CA">
        <w:t>). All methods under the ERF are designed to be able to meet Australia’s international emissions</w:t>
      </w:r>
      <w:r w:rsidR="003D3209">
        <w:t xml:space="preserve"> reduction</w:t>
      </w:r>
      <w:r w:rsidRPr="005206CA">
        <w:t xml:space="preserve"> targets. </w:t>
      </w:r>
    </w:p>
    <w:p w14:paraId="45C9D021" w14:textId="77777777" w:rsidR="00120927" w:rsidRPr="005206CA" w:rsidRDefault="00022E60" w:rsidP="00E77E89">
      <w:pPr>
        <w:pStyle w:val="Heading1"/>
        <w:numPr>
          <w:ilvl w:val="0"/>
          <w:numId w:val="44"/>
        </w:numPr>
      </w:pPr>
      <w:bookmarkStart w:id="237" w:name="_Toc497819456"/>
      <w:bookmarkStart w:id="238" w:name="_Toc498691522"/>
      <w:bookmarkStart w:id="239" w:name="_Toc499043703"/>
      <w:bookmarkStart w:id="240" w:name="_Toc499051729"/>
      <w:bookmarkStart w:id="241" w:name="_Ref500246119"/>
      <w:bookmarkStart w:id="242" w:name="_Ref500248959"/>
      <w:bookmarkStart w:id="243" w:name="_Ref500248967"/>
      <w:bookmarkStart w:id="244" w:name="_Toc500251079"/>
      <w:bookmarkStart w:id="245" w:name="_Toc500251354"/>
      <w:bookmarkStart w:id="246" w:name="_Toc500253951"/>
      <w:bookmarkStart w:id="247" w:name="_Toc500401458"/>
      <w:bookmarkStart w:id="248" w:name="_Toc500490943"/>
      <w:bookmarkStart w:id="249" w:name="_Toc500512885"/>
      <w:bookmarkStart w:id="250" w:name="_Toc500514140"/>
      <w:bookmarkStart w:id="251" w:name="_Toc500516197"/>
      <w:r w:rsidRPr="005206CA">
        <w:t>Methods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6A42589A" w14:textId="702F561D" w:rsidR="00022E60" w:rsidRPr="005206CA" w:rsidRDefault="00022E60" w:rsidP="00022E60">
      <w:r w:rsidRPr="005206CA">
        <w:t>The rules and requirements for E</w:t>
      </w:r>
      <w:r w:rsidR="000A3118" w:rsidRPr="005206CA">
        <w:t xml:space="preserve">missions </w:t>
      </w:r>
      <w:r w:rsidRPr="005206CA">
        <w:t>R</w:t>
      </w:r>
      <w:r w:rsidR="000A3118" w:rsidRPr="005206CA">
        <w:t xml:space="preserve">eduction </w:t>
      </w:r>
      <w:r w:rsidRPr="005206CA">
        <w:t>F</w:t>
      </w:r>
      <w:r w:rsidR="000A3118" w:rsidRPr="005206CA">
        <w:t>und (ERF)</w:t>
      </w:r>
      <w:r w:rsidRPr="005206CA">
        <w:t xml:space="preserve"> projects are set out in the ERF methods and the </w:t>
      </w:r>
      <w:r w:rsidR="000A3118" w:rsidRPr="005206CA">
        <w:t>Carbon Farming Initiative (</w:t>
      </w:r>
      <w:r w:rsidRPr="005206CA">
        <w:t>CFI</w:t>
      </w:r>
      <w:r w:rsidR="000A3118" w:rsidRPr="005206CA">
        <w:t>)</w:t>
      </w:r>
      <w:r w:rsidRPr="005206CA">
        <w:t xml:space="preserve"> legislation. ERF methods are legislative instruments similar to regulations, which means they give scheme participants more certainty than would be the case if methods took the form of non-regulatory guidance.</w:t>
      </w:r>
    </w:p>
    <w:p w14:paraId="0E4E0B40" w14:textId="6176C11C" w:rsidR="00022E60" w:rsidRPr="005206CA" w:rsidRDefault="00022E60" w:rsidP="00022E60">
      <w:r w:rsidRPr="005206CA">
        <w:t>The methods specify the type of emissions avoidance or carbon storage</w:t>
      </w:r>
      <w:r w:rsidRPr="005206CA">
        <w:rPr>
          <w:rStyle w:val="FootnoteReference"/>
        </w:rPr>
        <w:footnoteReference w:id="3"/>
      </w:r>
      <w:r w:rsidRPr="005206CA">
        <w:t xml:space="preserve"> activities that need to be undertaken, the process for estimating emissions reductions from project activities and </w:t>
      </w:r>
      <w:r w:rsidR="001E3C5C" w:rsidRPr="005206CA">
        <w:t xml:space="preserve">reporting </w:t>
      </w:r>
      <w:r w:rsidRPr="005206CA">
        <w:t xml:space="preserve">to the </w:t>
      </w:r>
      <w:r w:rsidR="009B317A" w:rsidRPr="005206CA">
        <w:t>Clean Energy Regulator (</w:t>
      </w:r>
      <w:r w:rsidRPr="005206CA">
        <w:t>CER</w:t>
      </w:r>
      <w:r w:rsidR="009B317A" w:rsidRPr="005206CA">
        <w:t>)</w:t>
      </w:r>
      <w:r w:rsidRPr="005206CA">
        <w:t xml:space="preserve">. The methods must also meet offsets integrity standards, a set of principles </w:t>
      </w:r>
      <w:r w:rsidR="0081456B">
        <w:t xml:space="preserve">set in legislation </w:t>
      </w:r>
      <w:r w:rsidRPr="005206CA">
        <w:t>that aim to achieve genuine and additional emissions reductions (</w:t>
      </w:r>
      <w:r w:rsidR="00C1613E" w:rsidRPr="00AC7279">
        <w:rPr>
          <w:rStyle w:val="SectionChapterChar"/>
        </w:rPr>
        <w:t xml:space="preserve">Section </w:t>
      </w:r>
      <w:r w:rsidR="00B66FAB">
        <w:rPr>
          <w:rStyle w:val="SectionChapterChar"/>
        </w:rPr>
        <w:t>3.4</w:t>
      </w:r>
      <w:r w:rsidRPr="005206CA">
        <w:t xml:space="preserve">). </w:t>
      </w:r>
    </w:p>
    <w:p w14:paraId="63126107" w14:textId="3CC33EC0" w:rsidR="00022E60" w:rsidRPr="005206CA" w:rsidRDefault="00022E60" w:rsidP="00022E60">
      <w:pPr>
        <w:spacing w:before="200"/>
      </w:pPr>
      <w:r w:rsidRPr="005206CA">
        <w:t>There are currently 3</w:t>
      </w:r>
      <w:r w:rsidR="00F35596" w:rsidRPr="005206CA">
        <w:t xml:space="preserve">4 </w:t>
      </w:r>
      <w:r w:rsidRPr="005206CA">
        <w:t xml:space="preserve">eligible methods across the following sectors: vegetation management, waste and wastewater, agriculture, </w:t>
      </w:r>
      <w:r w:rsidR="00EB68D7" w:rsidRPr="005206CA">
        <w:t xml:space="preserve">savanna burning, </w:t>
      </w:r>
      <w:r w:rsidRPr="005206CA">
        <w:t xml:space="preserve">energy efficiency, </w:t>
      </w:r>
      <w:r w:rsidR="00EB68D7" w:rsidRPr="005206CA">
        <w:t>industrial fugitives (</w:t>
      </w:r>
      <w:r w:rsidRPr="005206CA">
        <w:t>mining, oil and gas</w:t>
      </w:r>
      <w:r w:rsidR="00EB68D7" w:rsidRPr="005206CA">
        <w:t>)</w:t>
      </w:r>
      <w:r w:rsidRPr="005206CA">
        <w:t xml:space="preserve">, transport and facilities (Appendix </w:t>
      </w:r>
      <w:r w:rsidR="00D6496C" w:rsidRPr="005206CA">
        <w:t>C</w:t>
      </w:r>
      <w:r w:rsidRPr="005206CA">
        <w:t xml:space="preserve">; </w:t>
      </w:r>
      <w:r w:rsidRPr="005206CA">
        <w:rPr>
          <w:rStyle w:val="In-textChar"/>
        </w:rPr>
        <w:t>DoEE n.d.</w:t>
      </w:r>
      <w:r w:rsidR="00847333" w:rsidRPr="005206CA">
        <w:rPr>
          <w:rStyle w:val="In-textChar"/>
        </w:rPr>
        <w:t>b</w:t>
      </w:r>
      <w:r w:rsidRPr="005206CA">
        <w:t>). There are projects registered under 2</w:t>
      </w:r>
      <w:r w:rsidR="003D3209">
        <w:t>8</w:t>
      </w:r>
      <w:r w:rsidR="00F35596" w:rsidRPr="005206CA">
        <w:t xml:space="preserve"> </w:t>
      </w:r>
      <w:r w:rsidRPr="005206CA">
        <w:t xml:space="preserve">of these methods, and </w:t>
      </w:r>
      <w:r w:rsidR="003D3209" w:rsidRPr="005206CA">
        <w:t>s</w:t>
      </w:r>
      <w:r w:rsidR="003D3209">
        <w:t>ix</w:t>
      </w:r>
      <w:r w:rsidR="003D3209" w:rsidRPr="005206CA">
        <w:t xml:space="preserve"> </w:t>
      </w:r>
      <w:r w:rsidRPr="005206CA">
        <w:t>methods currently have no registered projects (</w:t>
      </w:r>
      <w:r w:rsidR="009A1F0D" w:rsidRPr="005206CA">
        <w:fldChar w:fldCharType="begin"/>
      </w:r>
      <w:r w:rsidR="009A1F0D" w:rsidRPr="005206CA">
        <w:instrText xml:space="preserve"> REF _Ref499043878 \h </w:instrText>
      </w:r>
      <w:r w:rsidR="005206CA">
        <w:instrText xml:space="preserve"> \* MERGEFORMAT </w:instrText>
      </w:r>
      <w:r w:rsidR="009A1F0D" w:rsidRPr="005206CA">
        <w:fldChar w:fldCharType="separate"/>
      </w:r>
      <w:r w:rsidR="00FA2002" w:rsidRPr="005206CA">
        <w:t xml:space="preserve">Table </w:t>
      </w:r>
      <w:r w:rsidR="00FA2002">
        <w:rPr>
          <w:noProof/>
        </w:rPr>
        <w:t>2</w:t>
      </w:r>
      <w:r w:rsidR="009A1F0D" w:rsidRPr="005206CA">
        <w:fldChar w:fldCharType="end"/>
      </w:r>
      <w:r w:rsidRPr="005206CA">
        <w:t>).</w:t>
      </w:r>
      <w:r w:rsidRPr="005206CA">
        <w:rPr>
          <w:rStyle w:val="FootnoteReference"/>
        </w:rPr>
        <w:footnoteReference w:id="4"/>
      </w:r>
      <w:r w:rsidRPr="005206CA">
        <w:t xml:space="preserve"> Some new methods are also under development (</w:t>
      </w:r>
      <w:r w:rsidR="00C1613E" w:rsidRPr="00AC7279">
        <w:rPr>
          <w:rStyle w:val="SectionChapterChar"/>
        </w:rPr>
        <w:t xml:space="preserve">Section </w:t>
      </w:r>
      <w:r w:rsidR="004519C0" w:rsidRPr="00AC7279">
        <w:rPr>
          <w:rStyle w:val="SectionChapterChar"/>
        </w:rPr>
        <w:fldChar w:fldCharType="begin"/>
      </w:r>
      <w:r w:rsidR="004519C0" w:rsidRPr="00AC7279">
        <w:rPr>
          <w:rStyle w:val="SectionChapterChar"/>
        </w:rPr>
        <w:instrText xml:space="preserve"> REF _Ref499043796 \n \h </w:instrText>
      </w:r>
      <w:r w:rsidR="0002132E" w:rsidRPr="00AC7279">
        <w:rPr>
          <w:rStyle w:val="SectionChapterChar"/>
        </w:rPr>
        <w:instrText xml:space="preserve"> \* MERGEFORMAT </w:instrText>
      </w:r>
      <w:r w:rsidR="004519C0" w:rsidRPr="00AC7279">
        <w:rPr>
          <w:rStyle w:val="SectionChapterChar"/>
        </w:rPr>
      </w:r>
      <w:r w:rsidR="004519C0" w:rsidRPr="00AC7279">
        <w:rPr>
          <w:rStyle w:val="SectionChapterChar"/>
        </w:rPr>
        <w:fldChar w:fldCharType="separate"/>
      </w:r>
      <w:r w:rsidR="00FA2002">
        <w:rPr>
          <w:rStyle w:val="SectionChapterChar"/>
        </w:rPr>
        <w:t>3.6</w:t>
      </w:r>
      <w:r w:rsidR="004519C0" w:rsidRPr="00AC7279">
        <w:rPr>
          <w:rStyle w:val="SectionChapterChar"/>
        </w:rPr>
        <w:fldChar w:fldCharType="end"/>
      </w:r>
      <w:r w:rsidRPr="005206CA">
        <w:t>).</w:t>
      </w:r>
    </w:p>
    <w:p w14:paraId="53212E05" w14:textId="163CE44F" w:rsidR="00022E60" w:rsidRPr="005206CA" w:rsidRDefault="00022E60" w:rsidP="00022E60">
      <w:pPr>
        <w:pStyle w:val="CCAFigure"/>
      </w:pPr>
      <w:bookmarkStart w:id="252" w:name="_Ref499043878"/>
      <w:bookmarkStart w:id="253" w:name="_Toc491872774"/>
      <w:bookmarkStart w:id="254" w:name="_Toc494904847"/>
      <w:bookmarkStart w:id="255" w:name="_Toc497819431"/>
      <w:bookmarkStart w:id="256" w:name="_Toc498691493"/>
      <w:bookmarkStart w:id="257" w:name="_Toc499051693"/>
      <w:bookmarkStart w:id="258" w:name="_Ref500244344"/>
      <w:bookmarkStart w:id="259" w:name="_Toc500251041"/>
      <w:bookmarkStart w:id="260" w:name="_Toc500251316"/>
      <w:bookmarkStart w:id="261" w:name="_Toc500253913"/>
      <w:bookmarkStart w:id="262" w:name="_Toc500400116"/>
      <w:bookmarkStart w:id="263" w:name="_Toc500490904"/>
      <w:bookmarkStart w:id="264" w:name="_Toc500513620"/>
      <w:bookmarkStart w:id="265" w:name="_Toc500516158"/>
      <w:r w:rsidRPr="005206CA">
        <w:t xml:space="preserve">Table </w:t>
      </w:r>
      <w:r w:rsidR="00FA2002">
        <w:fldChar w:fldCharType="begin"/>
      </w:r>
      <w:r w:rsidR="00FA2002">
        <w:instrText xml:space="preserve"> SEQ Table \*</w:instrText>
      </w:r>
      <w:r w:rsidR="00FA2002">
        <w:instrText xml:space="preserve"> ARABIC </w:instrText>
      </w:r>
      <w:r w:rsidR="00FA2002">
        <w:fldChar w:fldCharType="separate"/>
      </w:r>
      <w:r w:rsidR="00FA2002">
        <w:rPr>
          <w:noProof/>
        </w:rPr>
        <w:t>2</w:t>
      </w:r>
      <w:r w:rsidR="00FA2002">
        <w:rPr>
          <w:noProof/>
        </w:rPr>
        <w:fldChar w:fldCharType="end"/>
      </w:r>
      <w:bookmarkEnd w:id="252"/>
      <w:r w:rsidRPr="005206CA">
        <w:t>: Number of ERF methods and registered projects</w:t>
      </w:r>
      <w:bookmarkEnd w:id="253"/>
      <w:bookmarkEnd w:id="254"/>
      <w:bookmarkEnd w:id="255"/>
      <w:bookmarkEnd w:id="256"/>
      <w:bookmarkEnd w:id="257"/>
      <w:bookmarkEnd w:id="258"/>
      <w:bookmarkEnd w:id="259"/>
      <w:bookmarkEnd w:id="260"/>
      <w:bookmarkEnd w:id="261"/>
      <w:bookmarkEnd w:id="262"/>
      <w:bookmarkEnd w:id="263"/>
      <w:bookmarkEnd w:id="264"/>
      <w:bookmarkEnd w:id="2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1593"/>
        <w:gridCol w:w="1967"/>
        <w:gridCol w:w="1316"/>
        <w:gridCol w:w="2366"/>
      </w:tblGrid>
      <w:tr w:rsidR="00022E60" w:rsidRPr="005206CA" w14:paraId="4E16161A" w14:textId="77777777" w:rsidTr="00022E60">
        <w:trPr>
          <w:cnfStyle w:val="100000000000" w:firstRow="1" w:lastRow="0" w:firstColumn="0" w:lastColumn="0" w:oddVBand="0" w:evenVBand="0" w:oddHBand="0" w:evenHBand="0" w:firstRowFirstColumn="0" w:firstRowLastColumn="0" w:lastRowFirstColumn="0" w:lastRowLastColumn="0"/>
        </w:trPr>
        <w:tc>
          <w:tcPr>
            <w:tcW w:w="1960" w:type="dxa"/>
            <w:shd w:val="clear" w:color="auto" w:fill="309CC8"/>
          </w:tcPr>
          <w:p w14:paraId="3AEF65E9" w14:textId="77777777" w:rsidR="00022E60" w:rsidRPr="005206CA" w:rsidRDefault="00022E60" w:rsidP="00022E60">
            <w:pPr>
              <w:pStyle w:val="TableHeader"/>
              <w:spacing w:before="40" w:after="40" w:line="200" w:lineRule="exact"/>
            </w:pPr>
          </w:p>
        </w:tc>
        <w:tc>
          <w:tcPr>
            <w:tcW w:w="3560" w:type="dxa"/>
            <w:gridSpan w:val="2"/>
            <w:tcBorders>
              <w:right w:val="dotted" w:sz="4" w:space="0" w:color="auto"/>
            </w:tcBorders>
            <w:shd w:val="clear" w:color="auto" w:fill="309CC8"/>
          </w:tcPr>
          <w:p w14:paraId="0D256B4C" w14:textId="78A8DAAD" w:rsidR="00022E60" w:rsidRPr="005206CA" w:rsidRDefault="00022E60" w:rsidP="00022E60">
            <w:pPr>
              <w:pStyle w:val="TableHeader"/>
              <w:spacing w:before="40" w:after="40" w:line="200" w:lineRule="exact"/>
              <w:jc w:val="center"/>
            </w:pPr>
            <w:r w:rsidRPr="005206CA">
              <w:t>Methods</w:t>
            </w:r>
            <w:r w:rsidR="003D3209">
              <w:t>*</w:t>
            </w:r>
          </w:p>
        </w:tc>
        <w:tc>
          <w:tcPr>
            <w:tcW w:w="3682" w:type="dxa"/>
            <w:gridSpan w:val="2"/>
            <w:tcBorders>
              <w:left w:val="dotted" w:sz="4" w:space="0" w:color="auto"/>
            </w:tcBorders>
            <w:shd w:val="clear" w:color="auto" w:fill="309CC8"/>
          </w:tcPr>
          <w:p w14:paraId="6F91F94E" w14:textId="77777777" w:rsidR="00022E60" w:rsidRPr="005206CA" w:rsidRDefault="00022E60" w:rsidP="00022E60">
            <w:pPr>
              <w:pStyle w:val="TableHeader"/>
              <w:spacing w:before="40" w:after="40" w:line="200" w:lineRule="exact"/>
              <w:jc w:val="center"/>
            </w:pPr>
            <w:r w:rsidRPr="005206CA">
              <w:t>Projects</w:t>
            </w:r>
          </w:p>
        </w:tc>
      </w:tr>
      <w:tr w:rsidR="00022E60" w:rsidRPr="005206CA" w14:paraId="6F28DFB3" w14:textId="77777777" w:rsidTr="00022E60">
        <w:trPr>
          <w:cnfStyle w:val="000000100000" w:firstRow="0" w:lastRow="0" w:firstColumn="0" w:lastColumn="0" w:oddVBand="0" w:evenVBand="0" w:oddHBand="1" w:evenHBand="0" w:firstRowFirstColumn="0" w:firstRowLastColumn="0" w:lastRowFirstColumn="0" w:lastRowLastColumn="0"/>
        </w:trPr>
        <w:tc>
          <w:tcPr>
            <w:tcW w:w="1960" w:type="dxa"/>
            <w:shd w:val="clear" w:color="auto" w:fill="309CC8"/>
          </w:tcPr>
          <w:p w14:paraId="405ACB85" w14:textId="77777777" w:rsidR="00022E60" w:rsidRPr="005206CA" w:rsidRDefault="00022E60" w:rsidP="00022E60">
            <w:pPr>
              <w:pStyle w:val="TableHeader"/>
              <w:spacing w:before="40" w:after="40" w:line="200" w:lineRule="exact"/>
            </w:pPr>
            <w:r w:rsidRPr="005206CA">
              <w:t>Sector</w:t>
            </w:r>
          </w:p>
        </w:tc>
        <w:tc>
          <w:tcPr>
            <w:tcW w:w="1593" w:type="dxa"/>
            <w:shd w:val="clear" w:color="auto" w:fill="309CC8"/>
          </w:tcPr>
          <w:p w14:paraId="763E929E" w14:textId="77777777" w:rsidR="00022E60" w:rsidRPr="005206CA" w:rsidRDefault="00022E60" w:rsidP="00022E60">
            <w:pPr>
              <w:pStyle w:val="TableHeader"/>
              <w:spacing w:before="40" w:after="40" w:line="200" w:lineRule="exact"/>
              <w:jc w:val="right"/>
            </w:pPr>
            <w:r w:rsidRPr="005206CA">
              <w:t>Number of methods</w:t>
            </w:r>
          </w:p>
        </w:tc>
        <w:tc>
          <w:tcPr>
            <w:tcW w:w="1967" w:type="dxa"/>
            <w:tcBorders>
              <w:right w:val="dotted" w:sz="4" w:space="0" w:color="auto"/>
            </w:tcBorders>
            <w:shd w:val="clear" w:color="auto" w:fill="309CC8"/>
          </w:tcPr>
          <w:p w14:paraId="598BA76A" w14:textId="77777777" w:rsidR="00022E60" w:rsidRPr="005206CA" w:rsidRDefault="00022E60" w:rsidP="00022E60">
            <w:pPr>
              <w:pStyle w:val="TableHeader"/>
              <w:spacing w:before="40" w:after="40" w:line="200" w:lineRule="exact"/>
              <w:jc w:val="right"/>
            </w:pPr>
            <w:r w:rsidRPr="005206CA">
              <w:t>Number of methods without registered erf projects</w:t>
            </w:r>
          </w:p>
        </w:tc>
        <w:tc>
          <w:tcPr>
            <w:tcW w:w="1316" w:type="dxa"/>
            <w:tcBorders>
              <w:left w:val="dotted" w:sz="4" w:space="0" w:color="auto"/>
            </w:tcBorders>
            <w:shd w:val="clear" w:color="auto" w:fill="309CC8"/>
          </w:tcPr>
          <w:p w14:paraId="5DA27CA0" w14:textId="77777777" w:rsidR="00022E60" w:rsidRPr="005206CA" w:rsidRDefault="00022E60" w:rsidP="00022E60">
            <w:pPr>
              <w:pStyle w:val="TableHeader"/>
              <w:spacing w:before="40" w:after="40" w:line="200" w:lineRule="exact"/>
              <w:jc w:val="right"/>
            </w:pPr>
            <w:r w:rsidRPr="005206CA">
              <w:t>Number of registered projects</w:t>
            </w:r>
          </w:p>
        </w:tc>
        <w:tc>
          <w:tcPr>
            <w:tcW w:w="2366" w:type="dxa"/>
            <w:shd w:val="clear" w:color="auto" w:fill="309CC8"/>
          </w:tcPr>
          <w:p w14:paraId="3D93EE47" w14:textId="77777777" w:rsidR="00022E60" w:rsidRPr="005206CA" w:rsidRDefault="00022E60" w:rsidP="00022E60">
            <w:pPr>
              <w:pStyle w:val="TableHeader"/>
              <w:spacing w:before="40" w:after="40" w:line="200" w:lineRule="exact"/>
              <w:jc w:val="right"/>
            </w:pPr>
            <w:r w:rsidRPr="005206CA">
              <w:t>Number of registered projects with contracts with the cer</w:t>
            </w:r>
          </w:p>
        </w:tc>
      </w:tr>
      <w:tr w:rsidR="00022E60" w:rsidRPr="005206CA" w14:paraId="1463A9EE" w14:textId="77777777" w:rsidTr="00022E60">
        <w:trPr>
          <w:cnfStyle w:val="000000010000" w:firstRow="0" w:lastRow="0" w:firstColumn="0" w:lastColumn="0" w:oddVBand="0" w:evenVBand="0" w:oddHBand="0" w:evenHBand="1" w:firstRowFirstColumn="0" w:firstRowLastColumn="0" w:lastRowFirstColumn="0" w:lastRowLastColumn="0"/>
          <w:trHeight w:val="70"/>
        </w:trPr>
        <w:tc>
          <w:tcPr>
            <w:tcW w:w="1960" w:type="dxa"/>
            <w:tcBorders>
              <w:bottom w:val="dotted" w:sz="4" w:space="0" w:color="auto"/>
            </w:tcBorders>
            <w:shd w:val="clear" w:color="auto" w:fill="auto"/>
          </w:tcPr>
          <w:p w14:paraId="0E1AC1ED" w14:textId="77777777" w:rsidR="00022E60" w:rsidRPr="005206CA" w:rsidRDefault="00022E60" w:rsidP="00EB68D7">
            <w:pPr>
              <w:pStyle w:val="Tabletext"/>
              <w:spacing w:before="40" w:after="40" w:line="200" w:lineRule="exact"/>
              <w:rPr>
                <w:b/>
                <w:sz w:val="16"/>
                <w:szCs w:val="16"/>
              </w:rPr>
            </w:pPr>
            <w:r w:rsidRPr="005206CA">
              <w:rPr>
                <w:b/>
                <w:sz w:val="16"/>
                <w:szCs w:val="16"/>
              </w:rPr>
              <w:t>Vegetation</w:t>
            </w:r>
            <w:r w:rsidR="00EB68D7" w:rsidRPr="005206CA">
              <w:rPr>
                <w:b/>
                <w:sz w:val="16"/>
                <w:szCs w:val="16"/>
              </w:rPr>
              <w:t xml:space="preserve"> </w:t>
            </w:r>
          </w:p>
        </w:tc>
        <w:tc>
          <w:tcPr>
            <w:tcW w:w="1593" w:type="dxa"/>
            <w:tcBorders>
              <w:bottom w:val="dotted" w:sz="4" w:space="0" w:color="auto"/>
            </w:tcBorders>
            <w:shd w:val="clear" w:color="auto" w:fill="auto"/>
          </w:tcPr>
          <w:p w14:paraId="338E6A27" w14:textId="45CF78A9" w:rsidR="00022E60" w:rsidRPr="005206CA" w:rsidRDefault="001E3C5C" w:rsidP="00022E60">
            <w:pPr>
              <w:pStyle w:val="Tabletext"/>
              <w:spacing w:before="40" w:after="40" w:line="200" w:lineRule="exact"/>
              <w:jc w:val="right"/>
              <w:rPr>
                <w:sz w:val="16"/>
                <w:szCs w:val="16"/>
              </w:rPr>
            </w:pPr>
            <w:r w:rsidRPr="005206CA">
              <w:rPr>
                <w:sz w:val="16"/>
                <w:szCs w:val="16"/>
              </w:rPr>
              <w:t xml:space="preserve">9 </w:t>
            </w:r>
          </w:p>
        </w:tc>
        <w:tc>
          <w:tcPr>
            <w:tcW w:w="1967" w:type="dxa"/>
            <w:tcBorders>
              <w:bottom w:val="dotted" w:sz="4" w:space="0" w:color="auto"/>
              <w:right w:val="dotted" w:sz="4" w:space="0" w:color="auto"/>
            </w:tcBorders>
            <w:shd w:val="clear" w:color="auto" w:fill="auto"/>
          </w:tcPr>
          <w:p w14:paraId="798B37D3" w14:textId="44D68D8B" w:rsidR="00022E60" w:rsidRPr="005206CA" w:rsidRDefault="00040C83" w:rsidP="00022E60">
            <w:pPr>
              <w:pStyle w:val="Tabletext"/>
              <w:spacing w:before="40" w:after="40" w:line="200" w:lineRule="exact"/>
              <w:jc w:val="right"/>
              <w:rPr>
                <w:sz w:val="16"/>
                <w:szCs w:val="16"/>
              </w:rPr>
            </w:pPr>
            <w:r>
              <w:rPr>
                <w:sz w:val="16"/>
                <w:szCs w:val="16"/>
              </w:rPr>
              <w:t>1</w:t>
            </w:r>
          </w:p>
        </w:tc>
        <w:tc>
          <w:tcPr>
            <w:tcW w:w="1316" w:type="dxa"/>
            <w:tcBorders>
              <w:left w:val="dotted" w:sz="4" w:space="0" w:color="auto"/>
              <w:bottom w:val="dotted" w:sz="4" w:space="0" w:color="auto"/>
            </w:tcBorders>
            <w:shd w:val="clear" w:color="auto" w:fill="auto"/>
          </w:tcPr>
          <w:p w14:paraId="6CE99BCD" w14:textId="77777777" w:rsidR="00022E60" w:rsidRPr="005206CA" w:rsidRDefault="00022E60" w:rsidP="00022E60">
            <w:pPr>
              <w:pStyle w:val="Tabletext"/>
              <w:spacing w:before="40" w:after="40" w:line="200" w:lineRule="exact"/>
              <w:jc w:val="right"/>
              <w:rPr>
                <w:sz w:val="16"/>
                <w:szCs w:val="16"/>
              </w:rPr>
            </w:pPr>
            <w:r w:rsidRPr="005206CA">
              <w:rPr>
                <w:sz w:val="16"/>
                <w:szCs w:val="16"/>
              </w:rPr>
              <w:t>3</w:t>
            </w:r>
            <w:r w:rsidR="001047B4" w:rsidRPr="005206CA">
              <w:rPr>
                <w:sz w:val="16"/>
                <w:szCs w:val="16"/>
              </w:rPr>
              <w:t>59</w:t>
            </w:r>
          </w:p>
        </w:tc>
        <w:tc>
          <w:tcPr>
            <w:tcW w:w="2366" w:type="dxa"/>
            <w:tcBorders>
              <w:bottom w:val="dotted" w:sz="4" w:space="0" w:color="auto"/>
            </w:tcBorders>
            <w:shd w:val="clear" w:color="auto" w:fill="auto"/>
          </w:tcPr>
          <w:p w14:paraId="590AF4F1" w14:textId="77777777" w:rsidR="00022E60" w:rsidRPr="005206CA" w:rsidRDefault="00022E60" w:rsidP="00022E60">
            <w:pPr>
              <w:pStyle w:val="Tabletext"/>
              <w:spacing w:before="40" w:after="40" w:line="200" w:lineRule="exact"/>
              <w:jc w:val="right"/>
              <w:rPr>
                <w:sz w:val="16"/>
                <w:szCs w:val="16"/>
              </w:rPr>
            </w:pPr>
            <w:r w:rsidRPr="005206CA">
              <w:rPr>
                <w:sz w:val="16"/>
                <w:szCs w:val="16"/>
              </w:rPr>
              <w:t>22</w:t>
            </w:r>
            <w:r w:rsidR="001047B4" w:rsidRPr="005206CA">
              <w:rPr>
                <w:sz w:val="16"/>
                <w:szCs w:val="16"/>
              </w:rPr>
              <w:t>7</w:t>
            </w:r>
          </w:p>
        </w:tc>
      </w:tr>
      <w:tr w:rsidR="00022E60" w:rsidRPr="005206CA" w14:paraId="487C12FA" w14:textId="77777777" w:rsidTr="00022E60">
        <w:trPr>
          <w:cnfStyle w:val="000000100000" w:firstRow="0" w:lastRow="0" w:firstColumn="0" w:lastColumn="0" w:oddVBand="0" w:evenVBand="0" w:oddHBand="1" w:evenHBand="0"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4E7AC3E9" w14:textId="7600DCD8" w:rsidR="00022E60" w:rsidRPr="005206CA" w:rsidRDefault="00022E60" w:rsidP="00022E60">
            <w:pPr>
              <w:pStyle w:val="Tabletext"/>
              <w:spacing w:before="40" w:after="40" w:line="200" w:lineRule="exact"/>
              <w:rPr>
                <w:b/>
                <w:sz w:val="16"/>
                <w:szCs w:val="16"/>
              </w:rPr>
            </w:pPr>
            <w:r w:rsidRPr="005206CA" w:rsidDel="008C625A">
              <w:rPr>
                <w:b/>
                <w:sz w:val="16"/>
                <w:szCs w:val="16"/>
              </w:rPr>
              <w:t>W</w:t>
            </w:r>
            <w:r w:rsidRPr="005206CA">
              <w:rPr>
                <w:b/>
                <w:sz w:val="16"/>
                <w:szCs w:val="16"/>
              </w:rPr>
              <w:t>aste</w:t>
            </w:r>
            <w:r w:rsidR="00D93E99">
              <w:rPr>
                <w:b/>
                <w:sz w:val="16"/>
                <w:szCs w:val="16"/>
              </w:rPr>
              <w:t xml:space="preserve"> and wastewater</w:t>
            </w:r>
          </w:p>
        </w:tc>
        <w:tc>
          <w:tcPr>
            <w:tcW w:w="1593" w:type="dxa"/>
            <w:tcBorders>
              <w:top w:val="dotted" w:sz="4" w:space="0" w:color="auto"/>
              <w:bottom w:val="dotted" w:sz="4" w:space="0" w:color="auto"/>
            </w:tcBorders>
            <w:shd w:val="clear" w:color="auto" w:fill="auto"/>
          </w:tcPr>
          <w:p w14:paraId="56BAA12D" w14:textId="77777777" w:rsidR="00022E60" w:rsidRPr="005206CA" w:rsidRDefault="00022E60" w:rsidP="00022E60">
            <w:pPr>
              <w:pStyle w:val="Tabletext"/>
              <w:spacing w:before="40" w:after="40" w:line="200" w:lineRule="exact"/>
              <w:jc w:val="right"/>
              <w:rPr>
                <w:sz w:val="16"/>
                <w:szCs w:val="16"/>
              </w:rPr>
            </w:pPr>
            <w:r w:rsidRPr="005206CA">
              <w:rPr>
                <w:sz w:val="16"/>
                <w:szCs w:val="16"/>
              </w:rPr>
              <w:t>4</w:t>
            </w:r>
          </w:p>
        </w:tc>
        <w:tc>
          <w:tcPr>
            <w:tcW w:w="1967" w:type="dxa"/>
            <w:tcBorders>
              <w:top w:val="dotted" w:sz="4" w:space="0" w:color="auto"/>
              <w:bottom w:val="dotted" w:sz="4" w:space="0" w:color="auto"/>
              <w:right w:val="dotted" w:sz="4" w:space="0" w:color="auto"/>
            </w:tcBorders>
            <w:shd w:val="clear" w:color="auto" w:fill="auto"/>
          </w:tcPr>
          <w:p w14:paraId="50C62BE4"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c>
          <w:tcPr>
            <w:tcW w:w="1316" w:type="dxa"/>
            <w:tcBorders>
              <w:top w:val="dotted" w:sz="4" w:space="0" w:color="auto"/>
              <w:left w:val="dotted" w:sz="4" w:space="0" w:color="auto"/>
              <w:bottom w:val="dotted" w:sz="4" w:space="0" w:color="auto"/>
            </w:tcBorders>
            <w:shd w:val="clear" w:color="auto" w:fill="auto"/>
          </w:tcPr>
          <w:p w14:paraId="5D8E9CEC" w14:textId="77777777" w:rsidR="00022E60" w:rsidRPr="005206CA" w:rsidRDefault="00022E60" w:rsidP="00022E60">
            <w:pPr>
              <w:pStyle w:val="Tabletext"/>
              <w:spacing w:before="40" w:after="40" w:line="200" w:lineRule="exact"/>
              <w:jc w:val="right"/>
              <w:rPr>
                <w:sz w:val="16"/>
                <w:szCs w:val="16"/>
              </w:rPr>
            </w:pPr>
            <w:r w:rsidRPr="005206CA">
              <w:rPr>
                <w:sz w:val="16"/>
                <w:szCs w:val="16"/>
              </w:rPr>
              <w:t>134</w:t>
            </w:r>
          </w:p>
        </w:tc>
        <w:tc>
          <w:tcPr>
            <w:tcW w:w="2366" w:type="dxa"/>
            <w:tcBorders>
              <w:top w:val="dotted" w:sz="4" w:space="0" w:color="auto"/>
              <w:bottom w:val="dotted" w:sz="4" w:space="0" w:color="auto"/>
            </w:tcBorders>
            <w:shd w:val="clear" w:color="auto" w:fill="auto"/>
          </w:tcPr>
          <w:p w14:paraId="4326F46F" w14:textId="77777777" w:rsidR="00022E60" w:rsidRPr="005206CA" w:rsidRDefault="00022E60" w:rsidP="00022E60">
            <w:pPr>
              <w:pStyle w:val="Tabletext"/>
              <w:spacing w:before="40" w:after="40" w:line="200" w:lineRule="exact"/>
              <w:jc w:val="right"/>
              <w:rPr>
                <w:sz w:val="16"/>
                <w:szCs w:val="16"/>
              </w:rPr>
            </w:pPr>
            <w:r w:rsidRPr="005206CA">
              <w:rPr>
                <w:sz w:val="16"/>
                <w:szCs w:val="16"/>
              </w:rPr>
              <w:t>104</w:t>
            </w:r>
          </w:p>
        </w:tc>
      </w:tr>
      <w:tr w:rsidR="00022E60" w:rsidRPr="005206CA" w14:paraId="29A51109" w14:textId="77777777" w:rsidTr="00022E60">
        <w:trPr>
          <w:cnfStyle w:val="000000010000" w:firstRow="0" w:lastRow="0" w:firstColumn="0" w:lastColumn="0" w:oddVBand="0" w:evenVBand="0" w:oddHBand="0" w:evenHBand="1"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5AF0D3B1" w14:textId="77777777" w:rsidR="00022E60" w:rsidRPr="005206CA" w:rsidRDefault="00022E60" w:rsidP="00022E60">
            <w:pPr>
              <w:pStyle w:val="Tabletext"/>
              <w:spacing w:before="40" w:after="40" w:line="200" w:lineRule="exact"/>
              <w:rPr>
                <w:b/>
                <w:sz w:val="16"/>
                <w:szCs w:val="16"/>
              </w:rPr>
            </w:pPr>
            <w:r w:rsidRPr="005206CA">
              <w:rPr>
                <w:b/>
                <w:sz w:val="16"/>
                <w:szCs w:val="16"/>
              </w:rPr>
              <w:t>Agriculture</w:t>
            </w:r>
          </w:p>
        </w:tc>
        <w:tc>
          <w:tcPr>
            <w:tcW w:w="1593" w:type="dxa"/>
            <w:tcBorders>
              <w:top w:val="dotted" w:sz="4" w:space="0" w:color="auto"/>
              <w:bottom w:val="dotted" w:sz="4" w:space="0" w:color="auto"/>
            </w:tcBorders>
            <w:shd w:val="clear" w:color="auto" w:fill="auto"/>
          </w:tcPr>
          <w:p w14:paraId="63F60318" w14:textId="77777777" w:rsidR="00022E60" w:rsidRPr="005206CA" w:rsidRDefault="00022E60" w:rsidP="00022E60">
            <w:pPr>
              <w:pStyle w:val="Tabletext"/>
              <w:spacing w:before="40" w:after="40" w:line="200" w:lineRule="exact"/>
              <w:jc w:val="right"/>
              <w:rPr>
                <w:sz w:val="16"/>
                <w:szCs w:val="16"/>
              </w:rPr>
            </w:pPr>
            <w:r w:rsidRPr="005206CA">
              <w:rPr>
                <w:sz w:val="16"/>
                <w:szCs w:val="16"/>
              </w:rPr>
              <w:t>9</w:t>
            </w:r>
          </w:p>
        </w:tc>
        <w:tc>
          <w:tcPr>
            <w:tcW w:w="1967" w:type="dxa"/>
            <w:tcBorders>
              <w:top w:val="dotted" w:sz="4" w:space="0" w:color="auto"/>
              <w:bottom w:val="dotted" w:sz="4" w:space="0" w:color="auto"/>
              <w:right w:val="dotted" w:sz="4" w:space="0" w:color="auto"/>
            </w:tcBorders>
            <w:shd w:val="clear" w:color="auto" w:fill="auto"/>
          </w:tcPr>
          <w:p w14:paraId="6FE188BB" w14:textId="77777777" w:rsidR="00022E60" w:rsidRPr="005206CA" w:rsidRDefault="00022E60" w:rsidP="00022E60">
            <w:pPr>
              <w:pStyle w:val="Tabletext"/>
              <w:spacing w:before="40" w:after="40" w:line="200" w:lineRule="exact"/>
              <w:jc w:val="right"/>
              <w:rPr>
                <w:sz w:val="16"/>
                <w:szCs w:val="16"/>
              </w:rPr>
            </w:pPr>
            <w:r w:rsidRPr="005206CA">
              <w:rPr>
                <w:sz w:val="16"/>
                <w:szCs w:val="16"/>
              </w:rPr>
              <w:t>4</w:t>
            </w:r>
          </w:p>
        </w:tc>
        <w:tc>
          <w:tcPr>
            <w:tcW w:w="1316" w:type="dxa"/>
            <w:tcBorders>
              <w:top w:val="dotted" w:sz="4" w:space="0" w:color="auto"/>
              <w:left w:val="dotted" w:sz="4" w:space="0" w:color="auto"/>
              <w:bottom w:val="dotted" w:sz="4" w:space="0" w:color="auto"/>
            </w:tcBorders>
            <w:shd w:val="clear" w:color="auto" w:fill="auto"/>
          </w:tcPr>
          <w:p w14:paraId="3A47660B" w14:textId="77777777" w:rsidR="00022E60" w:rsidRPr="005206CA" w:rsidRDefault="00022E60" w:rsidP="00022E60">
            <w:pPr>
              <w:pStyle w:val="Tabletext"/>
              <w:spacing w:before="40" w:after="40" w:line="200" w:lineRule="exact"/>
              <w:jc w:val="right"/>
              <w:rPr>
                <w:sz w:val="16"/>
                <w:szCs w:val="16"/>
              </w:rPr>
            </w:pPr>
            <w:r w:rsidRPr="005206CA">
              <w:rPr>
                <w:sz w:val="16"/>
                <w:szCs w:val="16"/>
              </w:rPr>
              <w:t>4</w:t>
            </w:r>
            <w:r w:rsidR="001047B4" w:rsidRPr="005206CA">
              <w:rPr>
                <w:sz w:val="16"/>
                <w:szCs w:val="16"/>
              </w:rPr>
              <w:t>5</w:t>
            </w:r>
          </w:p>
        </w:tc>
        <w:tc>
          <w:tcPr>
            <w:tcW w:w="2366" w:type="dxa"/>
            <w:tcBorders>
              <w:top w:val="dotted" w:sz="4" w:space="0" w:color="auto"/>
              <w:bottom w:val="dotted" w:sz="4" w:space="0" w:color="auto"/>
            </w:tcBorders>
            <w:shd w:val="clear" w:color="auto" w:fill="auto"/>
          </w:tcPr>
          <w:p w14:paraId="6022946D" w14:textId="77777777" w:rsidR="00022E60" w:rsidRPr="005206CA" w:rsidRDefault="00022E60" w:rsidP="00022E60">
            <w:pPr>
              <w:pStyle w:val="Tabletext"/>
              <w:spacing w:before="40" w:after="40" w:line="200" w:lineRule="exact"/>
              <w:jc w:val="right"/>
              <w:rPr>
                <w:sz w:val="16"/>
                <w:szCs w:val="16"/>
              </w:rPr>
            </w:pPr>
            <w:r w:rsidRPr="005206CA">
              <w:rPr>
                <w:sz w:val="16"/>
                <w:szCs w:val="16"/>
              </w:rPr>
              <w:t>20</w:t>
            </w:r>
          </w:p>
        </w:tc>
      </w:tr>
      <w:tr w:rsidR="00022E60" w:rsidRPr="005206CA" w14:paraId="64EE56A8" w14:textId="77777777" w:rsidTr="00022E60">
        <w:trPr>
          <w:cnfStyle w:val="000000100000" w:firstRow="0" w:lastRow="0" w:firstColumn="0" w:lastColumn="0" w:oddVBand="0" w:evenVBand="0" w:oddHBand="1" w:evenHBand="0"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3C8B4E47" w14:textId="77777777" w:rsidR="00022E60" w:rsidRPr="005206CA" w:rsidRDefault="00022E60" w:rsidP="00022E60">
            <w:pPr>
              <w:pStyle w:val="Tabletext"/>
              <w:spacing w:before="40" w:after="40" w:line="200" w:lineRule="exact"/>
              <w:rPr>
                <w:b/>
                <w:sz w:val="16"/>
                <w:szCs w:val="16"/>
              </w:rPr>
            </w:pPr>
            <w:r w:rsidRPr="005206CA">
              <w:rPr>
                <w:b/>
                <w:sz w:val="16"/>
                <w:szCs w:val="16"/>
              </w:rPr>
              <w:t>Savanna burning</w:t>
            </w:r>
          </w:p>
        </w:tc>
        <w:tc>
          <w:tcPr>
            <w:tcW w:w="1593" w:type="dxa"/>
            <w:tcBorders>
              <w:top w:val="dotted" w:sz="4" w:space="0" w:color="auto"/>
              <w:bottom w:val="dotted" w:sz="4" w:space="0" w:color="auto"/>
            </w:tcBorders>
            <w:shd w:val="clear" w:color="auto" w:fill="auto"/>
          </w:tcPr>
          <w:p w14:paraId="4746C2A0" w14:textId="77777777" w:rsidR="00022E60" w:rsidRPr="005206CA" w:rsidRDefault="00022E60" w:rsidP="00022E60">
            <w:pPr>
              <w:pStyle w:val="Tabletext"/>
              <w:spacing w:before="40" w:after="40" w:line="200" w:lineRule="exact"/>
              <w:jc w:val="right"/>
              <w:rPr>
                <w:sz w:val="16"/>
                <w:szCs w:val="16"/>
              </w:rPr>
            </w:pPr>
            <w:r w:rsidRPr="005206CA">
              <w:rPr>
                <w:sz w:val="16"/>
                <w:szCs w:val="16"/>
              </w:rPr>
              <w:t>1</w:t>
            </w:r>
          </w:p>
        </w:tc>
        <w:tc>
          <w:tcPr>
            <w:tcW w:w="1967" w:type="dxa"/>
            <w:tcBorders>
              <w:top w:val="dotted" w:sz="4" w:space="0" w:color="auto"/>
              <w:bottom w:val="dotted" w:sz="4" w:space="0" w:color="auto"/>
              <w:right w:val="dotted" w:sz="4" w:space="0" w:color="auto"/>
            </w:tcBorders>
            <w:shd w:val="clear" w:color="auto" w:fill="auto"/>
          </w:tcPr>
          <w:p w14:paraId="00A53CE2"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c>
          <w:tcPr>
            <w:tcW w:w="1316" w:type="dxa"/>
            <w:tcBorders>
              <w:top w:val="dotted" w:sz="4" w:space="0" w:color="auto"/>
              <w:left w:val="dotted" w:sz="4" w:space="0" w:color="auto"/>
              <w:bottom w:val="dotted" w:sz="4" w:space="0" w:color="auto"/>
            </w:tcBorders>
            <w:shd w:val="clear" w:color="auto" w:fill="auto"/>
          </w:tcPr>
          <w:p w14:paraId="5E1D6BE3" w14:textId="4354C9F4" w:rsidR="00022E60" w:rsidRPr="005206CA" w:rsidRDefault="00022E60" w:rsidP="00022E60">
            <w:pPr>
              <w:pStyle w:val="Tabletext"/>
              <w:spacing w:before="40" w:after="40" w:line="200" w:lineRule="exact"/>
              <w:jc w:val="right"/>
              <w:rPr>
                <w:sz w:val="16"/>
                <w:szCs w:val="16"/>
              </w:rPr>
            </w:pPr>
            <w:r w:rsidRPr="005206CA">
              <w:rPr>
                <w:sz w:val="16"/>
                <w:szCs w:val="16"/>
              </w:rPr>
              <w:t>7</w:t>
            </w:r>
            <w:r w:rsidR="00B53CB0" w:rsidRPr="005206CA">
              <w:rPr>
                <w:sz w:val="16"/>
                <w:szCs w:val="16"/>
              </w:rPr>
              <w:t>2</w:t>
            </w:r>
          </w:p>
        </w:tc>
        <w:tc>
          <w:tcPr>
            <w:tcW w:w="2366" w:type="dxa"/>
            <w:tcBorders>
              <w:top w:val="dotted" w:sz="4" w:space="0" w:color="auto"/>
              <w:bottom w:val="dotted" w:sz="4" w:space="0" w:color="auto"/>
            </w:tcBorders>
            <w:shd w:val="clear" w:color="auto" w:fill="auto"/>
          </w:tcPr>
          <w:p w14:paraId="29C0CFBD" w14:textId="77777777" w:rsidR="00022E60" w:rsidRPr="005206CA" w:rsidRDefault="00022E60" w:rsidP="00022E60">
            <w:pPr>
              <w:pStyle w:val="Tabletext"/>
              <w:spacing w:before="40" w:after="40" w:line="200" w:lineRule="exact"/>
              <w:jc w:val="right"/>
              <w:rPr>
                <w:sz w:val="16"/>
                <w:szCs w:val="16"/>
              </w:rPr>
            </w:pPr>
            <w:r w:rsidRPr="005206CA">
              <w:rPr>
                <w:sz w:val="16"/>
                <w:szCs w:val="16"/>
              </w:rPr>
              <w:t>5</w:t>
            </w:r>
            <w:r w:rsidR="001047B4" w:rsidRPr="005206CA">
              <w:rPr>
                <w:sz w:val="16"/>
                <w:szCs w:val="16"/>
              </w:rPr>
              <w:t>2</w:t>
            </w:r>
          </w:p>
        </w:tc>
      </w:tr>
      <w:tr w:rsidR="00022E60" w:rsidRPr="005206CA" w14:paraId="732E9D4C" w14:textId="77777777" w:rsidTr="00022E60">
        <w:trPr>
          <w:cnfStyle w:val="000000010000" w:firstRow="0" w:lastRow="0" w:firstColumn="0" w:lastColumn="0" w:oddVBand="0" w:evenVBand="0" w:oddHBand="0" w:evenHBand="1"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267F526F" w14:textId="77777777" w:rsidR="00022E60" w:rsidRPr="005206CA" w:rsidRDefault="00022E60" w:rsidP="00EB68D7">
            <w:pPr>
              <w:pStyle w:val="Tabletext"/>
              <w:spacing w:before="40" w:after="40" w:line="200" w:lineRule="exact"/>
              <w:rPr>
                <w:b/>
                <w:sz w:val="16"/>
                <w:szCs w:val="16"/>
              </w:rPr>
            </w:pPr>
            <w:r w:rsidRPr="005206CA">
              <w:rPr>
                <w:b/>
                <w:sz w:val="16"/>
                <w:szCs w:val="16"/>
              </w:rPr>
              <w:t>Industrial fugitives</w:t>
            </w:r>
            <w:r w:rsidR="00EB68D7" w:rsidRPr="005206CA">
              <w:rPr>
                <w:b/>
                <w:sz w:val="16"/>
                <w:szCs w:val="16"/>
              </w:rPr>
              <w:t xml:space="preserve"> </w:t>
            </w:r>
          </w:p>
        </w:tc>
        <w:tc>
          <w:tcPr>
            <w:tcW w:w="1593" w:type="dxa"/>
            <w:tcBorders>
              <w:top w:val="dotted" w:sz="4" w:space="0" w:color="auto"/>
              <w:bottom w:val="dotted" w:sz="4" w:space="0" w:color="auto"/>
            </w:tcBorders>
            <w:shd w:val="clear" w:color="auto" w:fill="auto"/>
          </w:tcPr>
          <w:p w14:paraId="7D8A3946" w14:textId="77777777" w:rsidR="00022E60" w:rsidRPr="005206CA" w:rsidRDefault="00022E60" w:rsidP="00022E60">
            <w:pPr>
              <w:pStyle w:val="Tabletext"/>
              <w:spacing w:before="40" w:after="40" w:line="200" w:lineRule="exact"/>
              <w:jc w:val="right"/>
              <w:rPr>
                <w:sz w:val="16"/>
                <w:szCs w:val="16"/>
              </w:rPr>
            </w:pPr>
            <w:r w:rsidRPr="005206CA">
              <w:rPr>
                <w:sz w:val="16"/>
                <w:szCs w:val="16"/>
              </w:rPr>
              <w:t>2</w:t>
            </w:r>
          </w:p>
        </w:tc>
        <w:tc>
          <w:tcPr>
            <w:tcW w:w="1967" w:type="dxa"/>
            <w:tcBorders>
              <w:top w:val="dotted" w:sz="4" w:space="0" w:color="auto"/>
              <w:bottom w:val="dotted" w:sz="4" w:space="0" w:color="auto"/>
              <w:right w:val="dotted" w:sz="4" w:space="0" w:color="auto"/>
            </w:tcBorders>
            <w:shd w:val="clear" w:color="auto" w:fill="auto"/>
          </w:tcPr>
          <w:p w14:paraId="3AC4212D" w14:textId="77777777" w:rsidR="00022E60" w:rsidRPr="005206CA" w:rsidRDefault="00022E60" w:rsidP="00022E60">
            <w:pPr>
              <w:pStyle w:val="Tabletext"/>
              <w:spacing w:before="40" w:after="40" w:line="200" w:lineRule="exact"/>
              <w:jc w:val="right"/>
              <w:rPr>
                <w:sz w:val="16"/>
                <w:szCs w:val="16"/>
              </w:rPr>
            </w:pPr>
            <w:r w:rsidRPr="005206CA">
              <w:rPr>
                <w:sz w:val="16"/>
                <w:szCs w:val="16"/>
              </w:rPr>
              <w:t>1</w:t>
            </w:r>
          </w:p>
        </w:tc>
        <w:tc>
          <w:tcPr>
            <w:tcW w:w="1316" w:type="dxa"/>
            <w:tcBorders>
              <w:top w:val="dotted" w:sz="4" w:space="0" w:color="auto"/>
              <w:left w:val="dotted" w:sz="4" w:space="0" w:color="auto"/>
              <w:bottom w:val="dotted" w:sz="4" w:space="0" w:color="auto"/>
            </w:tcBorders>
            <w:shd w:val="clear" w:color="auto" w:fill="auto"/>
          </w:tcPr>
          <w:p w14:paraId="113980CF" w14:textId="77777777" w:rsidR="00022E60" w:rsidRPr="005206CA" w:rsidRDefault="00022E60" w:rsidP="00022E60">
            <w:pPr>
              <w:pStyle w:val="Tabletext"/>
              <w:spacing w:before="40" w:after="40" w:line="200" w:lineRule="exact"/>
              <w:jc w:val="right"/>
              <w:rPr>
                <w:sz w:val="16"/>
                <w:szCs w:val="16"/>
              </w:rPr>
            </w:pPr>
            <w:r w:rsidRPr="005206CA">
              <w:rPr>
                <w:sz w:val="16"/>
                <w:szCs w:val="16"/>
              </w:rPr>
              <w:t>14</w:t>
            </w:r>
          </w:p>
        </w:tc>
        <w:tc>
          <w:tcPr>
            <w:tcW w:w="2366" w:type="dxa"/>
            <w:tcBorders>
              <w:top w:val="dotted" w:sz="4" w:space="0" w:color="auto"/>
              <w:bottom w:val="dotted" w:sz="4" w:space="0" w:color="auto"/>
            </w:tcBorders>
            <w:shd w:val="clear" w:color="auto" w:fill="auto"/>
          </w:tcPr>
          <w:p w14:paraId="660F4749" w14:textId="77777777" w:rsidR="00022E60" w:rsidRPr="005206CA" w:rsidRDefault="00022E60" w:rsidP="00022E60">
            <w:pPr>
              <w:pStyle w:val="Tabletext"/>
              <w:spacing w:before="40" w:after="40" w:line="200" w:lineRule="exact"/>
              <w:jc w:val="right"/>
              <w:rPr>
                <w:sz w:val="16"/>
                <w:szCs w:val="16"/>
              </w:rPr>
            </w:pPr>
            <w:r w:rsidRPr="005206CA">
              <w:rPr>
                <w:sz w:val="16"/>
                <w:szCs w:val="16"/>
              </w:rPr>
              <w:t>11</w:t>
            </w:r>
          </w:p>
        </w:tc>
      </w:tr>
      <w:tr w:rsidR="00022E60" w:rsidRPr="005206CA" w14:paraId="241DEE9B" w14:textId="77777777" w:rsidTr="00022E60">
        <w:trPr>
          <w:cnfStyle w:val="000000100000" w:firstRow="0" w:lastRow="0" w:firstColumn="0" w:lastColumn="0" w:oddVBand="0" w:evenVBand="0" w:oddHBand="1" w:evenHBand="0"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5E556E62" w14:textId="77777777" w:rsidR="00022E60" w:rsidRPr="005206CA" w:rsidRDefault="00022E60" w:rsidP="00022E60">
            <w:pPr>
              <w:pStyle w:val="Tabletext"/>
              <w:spacing w:before="40" w:after="40" w:line="200" w:lineRule="exact"/>
              <w:rPr>
                <w:b/>
                <w:sz w:val="16"/>
                <w:szCs w:val="16"/>
              </w:rPr>
            </w:pPr>
            <w:r w:rsidRPr="005206CA">
              <w:rPr>
                <w:b/>
                <w:sz w:val="16"/>
                <w:szCs w:val="16"/>
              </w:rPr>
              <w:t>Energy efficiency</w:t>
            </w:r>
          </w:p>
        </w:tc>
        <w:tc>
          <w:tcPr>
            <w:tcW w:w="1593" w:type="dxa"/>
            <w:tcBorders>
              <w:top w:val="dotted" w:sz="4" w:space="0" w:color="auto"/>
              <w:bottom w:val="dotted" w:sz="4" w:space="0" w:color="auto"/>
            </w:tcBorders>
            <w:shd w:val="clear" w:color="auto" w:fill="auto"/>
          </w:tcPr>
          <w:p w14:paraId="0E789686" w14:textId="77777777" w:rsidR="00022E60" w:rsidRPr="005206CA" w:rsidRDefault="00022E60" w:rsidP="00022E60">
            <w:pPr>
              <w:pStyle w:val="Tabletext"/>
              <w:spacing w:before="40" w:after="40" w:line="200" w:lineRule="exact"/>
              <w:jc w:val="right"/>
              <w:rPr>
                <w:sz w:val="16"/>
                <w:szCs w:val="16"/>
              </w:rPr>
            </w:pPr>
            <w:r w:rsidRPr="005206CA">
              <w:rPr>
                <w:sz w:val="16"/>
                <w:szCs w:val="16"/>
              </w:rPr>
              <w:t>6</w:t>
            </w:r>
          </w:p>
        </w:tc>
        <w:tc>
          <w:tcPr>
            <w:tcW w:w="1967" w:type="dxa"/>
            <w:tcBorders>
              <w:top w:val="dotted" w:sz="4" w:space="0" w:color="auto"/>
              <w:bottom w:val="dotted" w:sz="4" w:space="0" w:color="auto"/>
              <w:right w:val="dotted" w:sz="4" w:space="0" w:color="auto"/>
            </w:tcBorders>
            <w:shd w:val="clear" w:color="auto" w:fill="auto"/>
          </w:tcPr>
          <w:p w14:paraId="43333BE4"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c>
          <w:tcPr>
            <w:tcW w:w="1316" w:type="dxa"/>
            <w:tcBorders>
              <w:top w:val="dotted" w:sz="4" w:space="0" w:color="auto"/>
              <w:left w:val="dotted" w:sz="4" w:space="0" w:color="auto"/>
              <w:bottom w:val="dotted" w:sz="4" w:space="0" w:color="auto"/>
            </w:tcBorders>
            <w:shd w:val="clear" w:color="auto" w:fill="auto"/>
          </w:tcPr>
          <w:p w14:paraId="1F8D6FEC" w14:textId="77777777" w:rsidR="00022E60" w:rsidRPr="005206CA" w:rsidRDefault="001047B4" w:rsidP="00022E60">
            <w:pPr>
              <w:pStyle w:val="Tabletext"/>
              <w:spacing w:before="40" w:after="40" w:line="200" w:lineRule="exact"/>
              <w:jc w:val="right"/>
              <w:rPr>
                <w:sz w:val="16"/>
                <w:szCs w:val="16"/>
              </w:rPr>
            </w:pPr>
            <w:r w:rsidRPr="005206CA">
              <w:rPr>
                <w:sz w:val="16"/>
                <w:szCs w:val="16"/>
              </w:rPr>
              <w:t>51</w:t>
            </w:r>
          </w:p>
        </w:tc>
        <w:tc>
          <w:tcPr>
            <w:tcW w:w="2366" w:type="dxa"/>
            <w:tcBorders>
              <w:top w:val="dotted" w:sz="4" w:space="0" w:color="auto"/>
              <w:bottom w:val="dotted" w:sz="4" w:space="0" w:color="auto"/>
            </w:tcBorders>
            <w:shd w:val="clear" w:color="auto" w:fill="auto"/>
          </w:tcPr>
          <w:p w14:paraId="100B7F43" w14:textId="77777777" w:rsidR="00022E60" w:rsidRPr="005206CA" w:rsidRDefault="00022E60" w:rsidP="00022E60">
            <w:pPr>
              <w:pStyle w:val="Tabletext"/>
              <w:spacing w:before="40" w:after="40" w:line="200" w:lineRule="exact"/>
              <w:jc w:val="right"/>
              <w:rPr>
                <w:sz w:val="16"/>
                <w:szCs w:val="16"/>
              </w:rPr>
            </w:pPr>
            <w:r w:rsidRPr="005206CA">
              <w:rPr>
                <w:sz w:val="16"/>
                <w:szCs w:val="16"/>
              </w:rPr>
              <w:t>11</w:t>
            </w:r>
          </w:p>
        </w:tc>
      </w:tr>
      <w:tr w:rsidR="00022E60" w:rsidRPr="005206CA" w14:paraId="48E6E914" w14:textId="77777777" w:rsidTr="00022E60">
        <w:trPr>
          <w:cnfStyle w:val="000000010000" w:firstRow="0" w:lastRow="0" w:firstColumn="0" w:lastColumn="0" w:oddVBand="0" w:evenVBand="0" w:oddHBand="0" w:evenHBand="1"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2B576BCE" w14:textId="77777777" w:rsidR="00022E60" w:rsidRPr="005206CA" w:rsidRDefault="00022E60" w:rsidP="00022E60">
            <w:pPr>
              <w:pStyle w:val="Tabletext"/>
              <w:spacing w:before="40" w:after="40" w:line="200" w:lineRule="exact"/>
              <w:rPr>
                <w:b/>
                <w:sz w:val="16"/>
                <w:szCs w:val="16"/>
              </w:rPr>
            </w:pPr>
            <w:r w:rsidRPr="005206CA">
              <w:rPr>
                <w:b/>
                <w:sz w:val="16"/>
                <w:szCs w:val="16"/>
              </w:rPr>
              <w:t>Transport</w:t>
            </w:r>
          </w:p>
        </w:tc>
        <w:tc>
          <w:tcPr>
            <w:tcW w:w="1593" w:type="dxa"/>
            <w:tcBorders>
              <w:top w:val="dotted" w:sz="4" w:space="0" w:color="auto"/>
              <w:bottom w:val="dotted" w:sz="4" w:space="0" w:color="auto"/>
            </w:tcBorders>
            <w:shd w:val="clear" w:color="auto" w:fill="auto"/>
          </w:tcPr>
          <w:p w14:paraId="53CF79DA" w14:textId="77777777" w:rsidR="00022E60" w:rsidRPr="005206CA" w:rsidRDefault="00022E60" w:rsidP="00022E60">
            <w:pPr>
              <w:pStyle w:val="Tabletext"/>
              <w:spacing w:before="40" w:after="40" w:line="200" w:lineRule="exact"/>
              <w:jc w:val="right"/>
              <w:rPr>
                <w:sz w:val="16"/>
                <w:szCs w:val="16"/>
              </w:rPr>
            </w:pPr>
            <w:r w:rsidRPr="005206CA">
              <w:rPr>
                <w:sz w:val="16"/>
                <w:szCs w:val="16"/>
              </w:rPr>
              <w:t>2</w:t>
            </w:r>
          </w:p>
        </w:tc>
        <w:tc>
          <w:tcPr>
            <w:tcW w:w="1967" w:type="dxa"/>
            <w:tcBorders>
              <w:top w:val="dotted" w:sz="4" w:space="0" w:color="auto"/>
              <w:bottom w:val="dotted" w:sz="4" w:space="0" w:color="auto"/>
              <w:right w:val="dotted" w:sz="4" w:space="0" w:color="auto"/>
            </w:tcBorders>
            <w:shd w:val="clear" w:color="auto" w:fill="auto"/>
          </w:tcPr>
          <w:p w14:paraId="59828CFD"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c>
          <w:tcPr>
            <w:tcW w:w="1316" w:type="dxa"/>
            <w:tcBorders>
              <w:top w:val="dotted" w:sz="4" w:space="0" w:color="auto"/>
              <w:left w:val="dotted" w:sz="4" w:space="0" w:color="auto"/>
              <w:bottom w:val="dotted" w:sz="4" w:space="0" w:color="auto"/>
            </w:tcBorders>
            <w:shd w:val="clear" w:color="auto" w:fill="auto"/>
          </w:tcPr>
          <w:p w14:paraId="0067BC3A" w14:textId="77777777" w:rsidR="00022E60" w:rsidRPr="005206CA" w:rsidRDefault="00022E60" w:rsidP="00022E60">
            <w:pPr>
              <w:pStyle w:val="Tabletext"/>
              <w:spacing w:before="40" w:after="40" w:line="200" w:lineRule="exact"/>
              <w:jc w:val="right"/>
              <w:rPr>
                <w:sz w:val="16"/>
                <w:szCs w:val="16"/>
              </w:rPr>
            </w:pPr>
            <w:r w:rsidRPr="005206CA">
              <w:rPr>
                <w:sz w:val="16"/>
                <w:szCs w:val="16"/>
              </w:rPr>
              <w:t>7</w:t>
            </w:r>
          </w:p>
        </w:tc>
        <w:tc>
          <w:tcPr>
            <w:tcW w:w="2366" w:type="dxa"/>
            <w:tcBorders>
              <w:top w:val="dotted" w:sz="4" w:space="0" w:color="auto"/>
              <w:bottom w:val="dotted" w:sz="4" w:space="0" w:color="auto"/>
            </w:tcBorders>
            <w:shd w:val="clear" w:color="auto" w:fill="auto"/>
          </w:tcPr>
          <w:p w14:paraId="26ACA948" w14:textId="77777777" w:rsidR="00022E60" w:rsidRPr="005206CA" w:rsidRDefault="00022E60" w:rsidP="00022E60">
            <w:pPr>
              <w:pStyle w:val="Tabletext"/>
              <w:spacing w:before="40" w:after="40" w:line="200" w:lineRule="exact"/>
              <w:jc w:val="right"/>
              <w:rPr>
                <w:sz w:val="16"/>
                <w:szCs w:val="16"/>
              </w:rPr>
            </w:pPr>
            <w:r w:rsidRPr="005206CA">
              <w:rPr>
                <w:sz w:val="16"/>
                <w:szCs w:val="16"/>
              </w:rPr>
              <w:t>3</w:t>
            </w:r>
          </w:p>
        </w:tc>
      </w:tr>
      <w:tr w:rsidR="00022E60" w:rsidRPr="005206CA" w14:paraId="5E578562" w14:textId="77777777" w:rsidTr="00E55312">
        <w:trPr>
          <w:cnfStyle w:val="000000100000" w:firstRow="0" w:lastRow="0" w:firstColumn="0" w:lastColumn="0" w:oddVBand="0" w:evenVBand="0" w:oddHBand="1" w:evenHBand="0" w:firstRowFirstColumn="0" w:firstRowLastColumn="0" w:lastRowFirstColumn="0" w:lastRowLastColumn="0"/>
        </w:trPr>
        <w:tc>
          <w:tcPr>
            <w:tcW w:w="1960" w:type="dxa"/>
            <w:tcBorders>
              <w:top w:val="dotted" w:sz="4" w:space="0" w:color="auto"/>
              <w:bottom w:val="dotted" w:sz="4" w:space="0" w:color="auto"/>
            </w:tcBorders>
            <w:shd w:val="clear" w:color="auto" w:fill="auto"/>
          </w:tcPr>
          <w:p w14:paraId="5D8875C9" w14:textId="77777777" w:rsidR="00022E60" w:rsidRPr="005206CA" w:rsidRDefault="00022E60" w:rsidP="00022E60">
            <w:pPr>
              <w:pStyle w:val="Tabletext"/>
              <w:spacing w:before="40" w:after="40" w:line="200" w:lineRule="exact"/>
              <w:rPr>
                <w:b/>
                <w:sz w:val="16"/>
                <w:szCs w:val="16"/>
              </w:rPr>
            </w:pPr>
            <w:r w:rsidRPr="005206CA">
              <w:rPr>
                <w:b/>
                <w:sz w:val="16"/>
                <w:szCs w:val="16"/>
              </w:rPr>
              <w:t>Facilities</w:t>
            </w:r>
          </w:p>
        </w:tc>
        <w:tc>
          <w:tcPr>
            <w:tcW w:w="1593" w:type="dxa"/>
            <w:tcBorders>
              <w:top w:val="dotted" w:sz="4" w:space="0" w:color="auto"/>
              <w:bottom w:val="dotted" w:sz="4" w:space="0" w:color="auto"/>
            </w:tcBorders>
            <w:shd w:val="clear" w:color="auto" w:fill="auto"/>
          </w:tcPr>
          <w:p w14:paraId="571B91D6" w14:textId="77777777" w:rsidR="00022E60" w:rsidRPr="005206CA" w:rsidRDefault="00022E60" w:rsidP="00022E60">
            <w:pPr>
              <w:pStyle w:val="Tabletext"/>
              <w:spacing w:before="40" w:after="40" w:line="200" w:lineRule="exact"/>
              <w:jc w:val="right"/>
              <w:rPr>
                <w:sz w:val="16"/>
                <w:szCs w:val="16"/>
              </w:rPr>
            </w:pPr>
            <w:r w:rsidRPr="005206CA">
              <w:rPr>
                <w:sz w:val="16"/>
                <w:szCs w:val="16"/>
              </w:rPr>
              <w:t>1</w:t>
            </w:r>
          </w:p>
        </w:tc>
        <w:tc>
          <w:tcPr>
            <w:tcW w:w="1967" w:type="dxa"/>
            <w:tcBorders>
              <w:top w:val="dotted" w:sz="4" w:space="0" w:color="auto"/>
              <w:bottom w:val="dotted" w:sz="4" w:space="0" w:color="auto"/>
              <w:right w:val="dotted" w:sz="4" w:space="0" w:color="auto"/>
            </w:tcBorders>
            <w:shd w:val="clear" w:color="auto" w:fill="auto"/>
          </w:tcPr>
          <w:p w14:paraId="57B69535"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c>
          <w:tcPr>
            <w:tcW w:w="1316" w:type="dxa"/>
            <w:tcBorders>
              <w:top w:val="dotted" w:sz="4" w:space="0" w:color="auto"/>
              <w:left w:val="dotted" w:sz="4" w:space="0" w:color="auto"/>
              <w:bottom w:val="dotted" w:sz="4" w:space="0" w:color="auto"/>
            </w:tcBorders>
            <w:shd w:val="clear" w:color="auto" w:fill="auto"/>
          </w:tcPr>
          <w:p w14:paraId="128703A0" w14:textId="77777777" w:rsidR="00022E60" w:rsidRPr="005206CA" w:rsidRDefault="00022E60" w:rsidP="00022E60">
            <w:pPr>
              <w:pStyle w:val="Tabletext"/>
              <w:spacing w:before="40" w:after="40" w:line="200" w:lineRule="exact"/>
              <w:jc w:val="right"/>
              <w:rPr>
                <w:sz w:val="16"/>
                <w:szCs w:val="16"/>
              </w:rPr>
            </w:pPr>
            <w:r w:rsidRPr="005206CA">
              <w:rPr>
                <w:sz w:val="16"/>
                <w:szCs w:val="16"/>
              </w:rPr>
              <w:t>1</w:t>
            </w:r>
          </w:p>
        </w:tc>
        <w:tc>
          <w:tcPr>
            <w:tcW w:w="2366" w:type="dxa"/>
            <w:tcBorders>
              <w:top w:val="dotted" w:sz="4" w:space="0" w:color="auto"/>
              <w:bottom w:val="dotted" w:sz="4" w:space="0" w:color="auto"/>
            </w:tcBorders>
            <w:shd w:val="clear" w:color="auto" w:fill="auto"/>
          </w:tcPr>
          <w:p w14:paraId="60A2BDC8" w14:textId="77777777" w:rsidR="00022E60" w:rsidRPr="005206CA" w:rsidRDefault="00022E60" w:rsidP="00022E60">
            <w:pPr>
              <w:pStyle w:val="Tabletext"/>
              <w:spacing w:before="40" w:after="40" w:line="200" w:lineRule="exact"/>
              <w:jc w:val="right"/>
              <w:rPr>
                <w:sz w:val="16"/>
                <w:szCs w:val="16"/>
              </w:rPr>
            </w:pPr>
            <w:r w:rsidRPr="005206CA">
              <w:rPr>
                <w:sz w:val="16"/>
                <w:szCs w:val="16"/>
              </w:rPr>
              <w:t>0</w:t>
            </w:r>
          </w:p>
        </w:tc>
      </w:tr>
      <w:tr w:rsidR="0046627E" w:rsidRPr="005206CA" w14:paraId="184B0746" w14:textId="77777777" w:rsidTr="00022E60">
        <w:trPr>
          <w:cnfStyle w:val="000000010000" w:firstRow="0" w:lastRow="0" w:firstColumn="0" w:lastColumn="0" w:oddVBand="0" w:evenVBand="0" w:oddHBand="0" w:evenHBand="1" w:firstRowFirstColumn="0" w:firstRowLastColumn="0" w:lastRowFirstColumn="0" w:lastRowLastColumn="0"/>
        </w:trPr>
        <w:tc>
          <w:tcPr>
            <w:tcW w:w="1960" w:type="dxa"/>
            <w:tcBorders>
              <w:top w:val="dotted" w:sz="4" w:space="0" w:color="auto"/>
            </w:tcBorders>
            <w:shd w:val="clear" w:color="auto" w:fill="auto"/>
          </w:tcPr>
          <w:p w14:paraId="5FA650D7" w14:textId="51DC4093" w:rsidR="0046627E" w:rsidRPr="005206CA" w:rsidRDefault="0046627E" w:rsidP="00022E60">
            <w:pPr>
              <w:pStyle w:val="Tabletext"/>
              <w:spacing w:before="40" w:after="40" w:line="200" w:lineRule="exact"/>
              <w:rPr>
                <w:b/>
                <w:sz w:val="16"/>
                <w:szCs w:val="16"/>
              </w:rPr>
            </w:pPr>
            <w:r w:rsidRPr="005206CA">
              <w:rPr>
                <w:b/>
                <w:sz w:val="16"/>
                <w:szCs w:val="16"/>
              </w:rPr>
              <w:t>Total</w:t>
            </w:r>
          </w:p>
        </w:tc>
        <w:tc>
          <w:tcPr>
            <w:tcW w:w="1593" w:type="dxa"/>
            <w:tcBorders>
              <w:top w:val="dotted" w:sz="4" w:space="0" w:color="auto"/>
            </w:tcBorders>
            <w:shd w:val="clear" w:color="auto" w:fill="auto"/>
          </w:tcPr>
          <w:p w14:paraId="0A783DF9" w14:textId="78A9A166" w:rsidR="0046627E" w:rsidRPr="00AC7279" w:rsidRDefault="0046627E" w:rsidP="00022E60">
            <w:pPr>
              <w:pStyle w:val="Tabletext"/>
              <w:spacing w:before="40" w:after="40" w:line="200" w:lineRule="exact"/>
              <w:jc w:val="right"/>
              <w:rPr>
                <w:b/>
                <w:sz w:val="16"/>
                <w:szCs w:val="16"/>
              </w:rPr>
            </w:pPr>
            <w:r w:rsidRPr="00AC7279">
              <w:rPr>
                <w:b/>
                <w:sz w:val="16"/>
                <w:szCs w:val="16"/>
              </w:rPr>
              <w:t>34</w:t>
            </w:r>
          </w:p>
        </w:tc>
        <w:tc>
          <w:tcPr>
            <w:tcW w:w="1967" w:type="dxa"/>
            <w:tcBorders>
              <w:top w:val="dotted" w:sz="4" w:space="0" w:color="auto"/>
              <w:right w:val="dotted" w:sz="4" w:space="0" w:color="auto"/>
            </w:tcBorders>
            <w:shd w:val="clear" w:color="auto" w:fill="auto"/>
          </w:tcPr>
          <w:p w14:paraId="41EE2238" w14:textId="1FFCC4DB" w:rsidR="0046627E" w:rsidRPr="00AC7279" w:rsidRDefault="00040C83" w:rsidP="00022E60">
            <w:pPr>
              <w:pStyle w:val="Tabletext"/>
              <w:spacing w:before="40" w:after="40" w:line="200" w:lineRule="exact"/>
              <w:jc w:val="right"/>
              <w:rPr>
                <w:b/>
                <w:sz w:val="16"/>
                <w:szCs w:val="16"/>
              </w:rPr>
            </w:pPr>
            <w:r>
              <w:rPr>
                <w:b/>
                <w:sz w:val="16"/>
                <w:szCs w:val="16"/>
              </w:rPr>
              <w:t>6</w:t>
            </w:r>
          </w:p>
        </w:tc>
        <w:tc>
          <w:tcPr>
            <w:tcW w:w="1316" w:type="dxa"/>
            <w:tcBorders>
              <w:top w:val="dotted" w:sz="4" w:space="0" w:color="auto"/>
              <w:left w:val="dotted" w:sz="4" w:space="0" w:color="auto"/>
            </w:tcBorders>
            <w:shd w:val="clear" w:color="auto" w:fill="auto"/>
          </w:tcPr>
          <w:p w14:paraId="67A390FD" w14:textId="58E90F52" w:rsidR="0046627E" w:rsidRPr="00AC7279" w:rsidRDefault="0046627E" w:rsidP="00022E60">
            <w:pPr>
              <w:pStyle w:val="Tabletext"/>
              <w:spacing w:before="40" w:after="40" w:line="200" w:lineRule="exact"/>
              <w:jc w:val="right"/>
              <w:rPr>
                <w:b/>
                <w:sz w:val="16"/>
                <w:szCs w:val="16"/>
              </w:rPr>
            </w:pPr>
            <w:r w:rsidRPr="00AC7279">
              <w:rPr>
                <w:b/>
                <w:sz w:val="16"/>
                <w:szCs w:val="16"/>
              </w:rPr>
              <w:t>683</w:t>
            </w:r>
          </w:p>
        </w:tc>
        <w:tc>
          <w:tcPr>
            <w:tcW w:w="2366" w:type="dxa"/>
            <w:tcBorders>
              <w:top w:val="dotted" w:sz="4" w:space="0" w:color="auto"/>
            </w:tcBorders>
            <w:shd w:val="clear" w:color="auto" w:fill="auto"/>
          </w:tcPr>
          <w:p w14:paraId="08FE212A" w14:textId="6C478443" w:rsidR="0046627E" w:rsidRPr="00AC7279" w:rsidRDefault="0046627E" w:rsidP="00022E60">
            <w:pPr>
              <w:pStyle w:val="Tabletext"/>
              <w:spacing w:before="40" w:after="40" w:line="200" w:lineRule="exact"/>
              <w:jc w:val="right"/>
              <w:rPr>
                <w:b/>
                <w:sz w:val="16"/>
                <w:szCs w:val="16"/>
              </w:rPr>
            </w:pPr>
            <w:r w:rsidRPr="00AC7279">
              <w:rPr>
                <w:b/>
                <w:sz w:val="16"/>
                <w:szCs w:val="16"/>
              </w:rPr>
              <w:t>428</w:t>
            </w:r>
          </w:p>
        </w:tc>
      </w:tr>
    </w:tbl>
    <w:p w14:paraId="151377FE" w14:textId="4503530C" w:rsidR="00056722" w:rsidRPr="001E734D" w:rsidRDefault="00022E60" w:rsidP="00090EC5">
      <w:pPr>
        <w:pStyle w:val="Footnote"/>
        <w:spacing w:after="0"/>
      </w:pPr>
      <w:r w:rsidRPr="005206CA">
        <w:rPr>
          <w:b/>
        </w:rPr>
        <w:t xml:space="preserve">Note: </w:t>
      </w:r>
      <w:r w:rsidRPr="005206CA">
        <w:t>Methods included in the first two columns of the table are those that are currently open to new projects. The last two columns include projects for methods that are now closed to new projects</w:t>
      </w:r>
      <w:r w:rsidR="002F6EEC" w:rsidRPr="005206CA">
        <w:t>, and exclude projects that have been revoked</w:t>
      </w:r>
      <w:r w:rsidRPr="005206CA">
        <w:t>.</w:t>
      </w:r>
      <w:r w:rsidR="00040C83">
        <w:t xml:space="preserve"> </w:t>
      </w:r>
      <w:r w:rsidR="00040C83" w:rsidRPr="001E734D">
        <w:t>Data as at 16 November 2017</w:t>
      </w:r>
      <w:r w:rsidR="003D3209">
        <w:t xml:space="preserve"> for last two columns</w:t>
      </w:r>
      <w:r w:rsidR="00040C83" w:rsidRPr="001E734D">
        <w:t xml:space="preserve">. </w:t>
      </w:r>
      <w:r w:rsidR="003D3209">
        <w:t xml:space="preserve">Data as of </w:t>
      </w:r>
      <w:r w:rsidR="00040C83" w:rsidRPr="001E734D">
        <w:t>1 December</w:t>
      </w:r>
      <w:r w:rsidR="003D3209">
        <w:t xml:space="preserve"> 2017</w:t>
      </w:r>
      <w:r w:rsidR="00040C83" w:rsidRPr="001E734D">
        <w:t xml:space="preserve"> </w:t>
      </w:r>
      <w:r w:rsidR="003D3209">
        <w:t>for first two columns</w:t>
      </w:r>
      <w:r w:rsidR="00040C83" w:rsidRPr="001E734D">
        <w:t>.</w:t>
      </w:r>
    </w:p>
    <w:p w14:paraId="79C0E027" w14:textId="4D21D4C8" w:rsidR="00022E60" w:rsidRPr="005206CA" w:rsidRDefault="00022E60" w:rsidP="00AC7279">
      <w:pPr>
        <w:pStyle w:val="Footnote"/>
        <w:spacing w:after="0"/>
      </w:pPr>
      <w:r w:rsidRPr="005206CA">
        <w:rPr>
          <w:b/>
        </w:rPr>
        <w:t>Source:</w:t>
      </w:r>
      <w:r w:rsidRPr="005206CA">
        <w:t xml:space="preserve"> Climate Change Authority based on CER </w:t>
      </w:r>
      <w:r w:rsidR="003D2EF9" w:rsidRPr="005206CA">
        <w:t>2017</w:t>
      </w:r>
      <w:r w:rsidR="0094547E" w:rsidRPr="005206CA">
        <w:t>n</w:t>
      </w:r>
      <w:r w:rsidRPr="005206CA">
        <w:t xml:space="preserve">. </w:t>
      </w:r>
    </w:p>
    <w:p w14:paraId="776437D8" w14:textId="77777777" w:rsidR="00022E60" w:rsidRPr="005206CA" w:rsidRDefault="00022E60">
      <w:pPr>
        <w:pStyle w:val="Heading2"/>
      </w:pPr>
      <w:bookmarkStart w:id="266" w:name="_Toc494905108"/>
      <w:bookmarkStart w:id="267" w:name="_Toc497819457"/>
      <w:bookmarkStart w:id="268" w:name="_Toc498691523"/>
      <w:bookmarkStart w:id="269" w:name="_Toc499043704"/>
      <w:bookmarkStart w:id="270" w:name="_Toc499051730"/>
      <w:bookmarkStart w:id="271" w:name="_Toc500251080"/>
      <w:bookmarkStart w:id="272" w:name="_Toc500251355"/>
      <w:bookmarkStart w:id="273" w:name="_Toc500253952"/>
      <w:bookmarkStart w:id="274" w:name="_Toc500401459"/>
      <w:bookmarkStart w:id="275" w:name="_Toc500490944"/>
      <w:bookmarkStart w:id="276" w:name="_Toc500512886"/>
      <w:bookmarkStart w:id="277" w:name="_Toc500514141"/>
      <w:bookmarkStart w:id="278" w:name="_Toc500516198"/>
      <w:r w:rsidRPr="005206CA">
        <w:t>Uptake and emissions reductions from methods</w:t>
      </w:r>
      <w:bookmarkEnd w:id="266"/>
      <w:bookmarkEnd w:id="267"/>
      <w:bookmarkEnd w:id="268"/>
      <w:bookmarkEnd w:id="269"/>
      <w:bookmarkEnd w:id="270"/>
      <w:bookmarkEnd w:id="271"/>
      <w:bookmarkEnd w:id="272"/>
      <w:bookmarkEnd w:id="273"/>
      <w:bookmarkEnd w:id="274"/>
      <w:bookmarkEnd w:id="275"/>
      <w:bookmarkEnd w:id="276"/>
      <w:bookmarkEnd w:id="277"/>
      <w:bookmarkEnd w:id="278"/>
    </w:p>
    <w:p w14:paraId="5ABF4716" w14:textId="47B4A405" w:rsidR="00022E60" w:rsidRPr="005206CA" w:rsidRDefault="00022E60" w:rsidP="00022E60">
      <w:r w:rsidRPr="005206CA">
        <w:t>Projects under a small number of methods make up the majority of projects registered under the ERF, as well as providing the majority of emissions reductions contracted by the CER (</w:t>
      </w:r>
      <w:r w:rsidR="00F57279" w:rsidRPr="005206CA">
        <w:fldChar w:fldCharType="begin"/>
      </w:r>
      <w:r w:rsidR="00F57279" w:rsidRPr="005206CA">
        <w:instrText xml:space="preserve"> REF _Ref499043878 \h </w:instrText>
      </w:r>
      <w:r w:rsidR="0002132E" w:rsidRPr="005206CA">
        <w:instrText xml:space="preserve"> \* MERGEFORMAT </w:instrText>
      </w:r>
      <w:r w:rsidR="00F57279" w:rsidRPr="005206CA">
        <w:fldChar w:fldCharType="separate"/>
      </w:r>
      <w:r w:rsidR="00FA2002" w:rsidRPr="005206CA">
        <w:t xml:space="preserve">Table </w:t>
      </w:r>
      <w:r w:rsidR="00FA2002">
        <w:rPr>
          <w:noProof/>
        </w:rPr>
        <w:t>2</w:t>
      </w:r>
      <w:r w:rsidR="00F57279" w:rsidRPr="005206CA">
        <w:fldChar w:fldCharType="end"/>
      </w:r>
      <w:r w:rsidR="00F57279" w:rsidRPr="005206CA">
        <w:t xml:space="preserve"> </w:t>
      </w:r>
      <w:r w:rsidRPr="005206CA">
        <w:t xml:space="preserve">and </w:t>
      </w:r>
      <w:r w:rsidR="00F57279" w:rsidRPr="005206CA">
        <w:fldChar w:fldCharType="begin"/>
      </w:r>
      <w:r w:rsidR="00F57279" w:rsidRPr="005206CA">
        <w:instrText xml:space="preserve"> REF _Ref497813098 \h </w:instrText>
      </w:r>
      <w:r w:rsidR="0002132E" w:rsidRPr="005206CA">
        <w:instrText xml:space="preserve"> \* MERGEFORMAT </w:instrText>
      </w:r>
      <w:r w:rsidR="00F57279" w:rsidRPr="005206CA">
        <w:fldChar w:fldCharType="separate"/>
      </w:r>
      <w:r w:rsidR="00FA2002" w:rsidRPr="005206CA">
        <w:t>Figure </w:t>
      </w:r>
      <w:r w:rsidR="00FA2002">
        <w:t>2</w:t>
      </w:r>
      <w:r w:rsidR="00F57279" w:rsidRPr="005206CA">
        <w:fldChar w:fldCharType="end"/>
      </w:r>
      <w:r w:rsidRPr="005206CA">
        <w:t>). The greatest volume of emissions reductions under the ERF comes from vegetation management</w:t>
      </w:r>
      <w:r w:rsidR="001816FC" w:rsidRPr="005206CA">
        <w:t>,</w:t>
      </w:r>
      <w:r w:rsidRPr="005206CA">
        <w:t xml:space="preserve"> which accounts for 65 per cent of contracted abatement (</w:t>
      </w:r>
      <w:r w:rsidRPr="005206CA">
        <w:fldChar w:fldCharType="begin"/>
      </w:r>
      <w:r w:rsidRPr="005206CA">
        <w:instrText xml:space="preserve"> REF _Ref497813098 \h </w:instrText>
      </w:r>
      <w:r w:rsidR="0002132E" w:rsidRPr="005206CA">
        <w:instrText xml:space="preserve"> \* MERGEFORMAT </w:instrText>
      </w:r>
      <w:r w:rsidRPr="005206CA">
        <w:fldChar w:fldCharType="separate"/>
      </w:r>
      <w:r w:rsidR="00FA2002" w:rsidRPr="005206CA">
        <w:t>Figure </w:t>
      </w:r>
      <w:r w:rsidR="00FA2002">
        <w:t>2</w:t>
      </w:r>
      <w:r w:rsidRPr="005206CA">
        <w:fldChar w:fldCharType="end"/>
      </w:r>
      <w:r w:rsidRPr="005206CA">
        <w:t>) (</w:t>
      </w:r>
      <w:r w:rsidRPr="005206CA">
        <w:rPr>
          <w:rStyle w:val="In-textChar"/>
        </w:rPr>
        <w:t xml:space="preserve">CER </w:t>
      </w:r>
      <w:r w:rsidR="003D2EF9" w:rsidRPr="005206CA">
        <w:rPr>
          <w:rStyle w:val="In-textChar"/>
        </w:rPr>
        <w:t>2017</w:t>
      </w:r>
      <w:r w:rsidR="0094547E" w:rsidRPr="005206CA">
        <w:rPr>
          <w:rStyle w:val="In-textChar"/>
        </w:rPr>
        <w:t>n</w:t>
      </w:r>
      <w:r w:rsidRPr="005206CA">
        <w:t>). These methods generally credit carbon storage arising from the regrowth of vegetation by removing stock or fencing off land, or from preventing land clearing. Other sectors that have high levels of uptake and success at auction include landfill waste, which accounts for 1</w:t>
      </w:r>
      <w:r w:rsidR="00BE6F47" w:rsidRPr="005206CA">
        <w:t>1</w:t>
      </w:r>
      <w:r w:rsidRPr="005206CA">
        <w:t xml:space="preserve"> per cent of total contracted abatement and soil carbon, accounting for </w:t>
      </w:r>
      <w:r w:rsidR="00126DF6">
        <w:t>9</w:t>
      </w:r>
      <w:r w:rsidR="00F542C7">
        <w:t> </w:t>
      </w:r>
      <w:r w:rsidRPr="005206CA">
        <w:t>per</w:t>
      </w:r>
      <w:r w:rsidR="002D7994" w:rsidRPr="005206CA">
        <w:t> </w:t>
      </w:r>
      <w:r w:rsidRPr="005206CA">
        <w:t xml:space="preserve">cent. </w:t>
      </w:r>
    </w:p>
    <w:p w14:paraId="77170D4D" w14:textId="780541F5" w:rsidR="00022E60" w:rsidRPr="005206CA" w:rsidRDefault="00022E60" w:rsidP="00022E60">
      <w:pPr>
        <w:pStyle w:val="CCAFigure"/>
      </w:pPr>
      <w:bookmarkStart w:id="279" w:name="_Ref497813098"/>
      <w:bookmarkStart w:id="280" w:name="_Toc494904841"/>
      <w:bookmarkStart w:id="281" w:name="_Toc497819423"/>
      <w:bookmarkStart w:id="282" w:name="_Toc497827463"/>
      <w:bookmarkStart w:id="283" w:name="_Toc497834099"/>
      <w:bookmarkStart w:id="284" w:name="_Toc498691504"/>
      <w:bookmarkStart w:id="285" w:name="_Toc499051704"/>
      <w:bookmarkStart w:id="286" w:name="_Toc500251053"/>
      <w:bookmarkStart w:id="287" w:name="_Toc500251328"/>
      <w:bookmarkStart w:id="288" w:name="_Toc500253925"/>
      <w:bookmarkStart w:id="289" w:name="_Toc500490916"/>
      <w:bookmarkStart w:id="290" w:name="_Toc500513611"/>
      <w:bookmarkStart w:id="291" w:name="_Toc500516170"/>
      <w:r w:rsidRPr="005206CA">
        <w:t>Figure</w:t>
      </w:r>
      <w:r w:rsidR="005F65A7" w:rsidRPr="005206CA">
        <w:t> </w:t>
      </w:r>
      <w:r w:rsidR="00FA2002">
        <w:fldChar w:fldCharType="begin"/>
      </w:r>
      <w:r w:rsidR="00FA2002">
        <w:instrText xml:space="preserve"> SEQ Figure \* ARABIC </w:instrText>
      </w:r>
      <w:r w:rsidR="00FA2002">
        <w:fldChar w:fldCharType="separate"/>
      </w:r>
      <w:r w:rsidR="00FA2002">
        <w:rPr>
          <w:noProof/>
        </w:rPr>
        <w:t>2</w:t>
      </w:r>
      <w:r w:rsidR="00FA2002">
        <w:rPr>
          <w:noProof/>
        </w:rPr>
        <w:fldChar w:fldCharType="end"/>
      </w:r>
      <w:bookmarkEnd w:id="279"/>
      <w:r w:rsidRPr="005206CA">
        <w:t>: Volume of contracted emissions reductions under the ERF by sector (million tonnes CO</w:t>
      </w:r>
      <w:r w:rsidRPr="005206CA">
        <w:rPr>
          <w:vertAlign w:val="subscript"/>
        </w:rPr>
        <w:t>2</w:t>
      </w:r>
      <w:r w:rsidR="00CD542A">
        <w:t>-</w:t>
      </w:r>
      <w:r w:rsidRPr="005206CA">
        <w:t>e)</w:t>
      </w:r>
      <w:bookmarkEnd w:id="280"/>
      <w:bookmarkEnd w:id="281"/>
      <w:bookmarkEnd w:id="282"/>
      <w:bookmarkEnd w:id="283"/>
      <w:bookmarkEnd w:id="284"/>
      <w:bookmarkEnd w:id="285"/>
      <w:bookmarkEnd w:id="286"/>
      <w:bookmarkEnd w:id="287"/>
      <w:bookmarkEnd w:id="288"/>
      <w:bookmarkEnd w:id="289"/>
      <w:bookmarkEnd w:id="290"/>
      <w:bookmarkEnd w:id="291"/>
    </w:p>
    <w:p w14:paraId="487106A8" w14:textId="3F6C8A38" w:rsidR="00090EC5" w:rsidRDefault="00D93E99" w:rsidP="00022E60">
      <w:pPr>
        <w:pStyle w:val="Footnote"/>
        <w:rPr>
          <w:b/>
        </w:rPr>
      </w:pPr>
      <w:r>
        <w:rPr>
          <w:b/>
          <w:noProof/>
          <w:lang w:eastAsia="en-AU"/>
        </w:rPr>
        <w:drawing>
          <wp:inline distT="0" distB="0" distL="0" distR="0" wp14:anchorId="2C26A04C" wp14:editId="7CDDFE7F">
            <wp:extent cx="5194300" cy="2749550"/>
            <wp:effectExtent l="0" t="0" r="6350" b="0"/>
            <wp:docPr id="4" name="Picture 4" descr="Figure 2 is a bar chart that compares the volume of contracted emissions reductions under the ERF by sector. The vertical axis is million tonnes of carbon dioxide equivalent and the horizontal axis is the sector: vegetation, landfill and waste, agriculture, savanna burning, industrial fugitives, energy efficiency and transport. The three sectors with the highest volumes of contracted emissions reductions are: vegetation at 122 MtCO2-e, landfill and waste at 24 MtCO2-e and agriculture at nearly 18 MtCO2-e. The remaining sectors have net emissions of around 5 MtCO2-e or less." title="Figure 2: Volume of contracted emissions reductions under the ERF by sector (million tonnes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300" cy="2749550"/>
                    </a:xfrm>
                    <a:prstGeom prst="rect">
                      <a:avLst/>
                    </a:prstGeom>
                    <a:noFill/>
                  </pic:spPr>
                </pic:pic>
              </a:graphicData>
            </a:graphic>
          </wp:inline>
        </w:drawing>
      </w:r>
    </w:p>
    <w:p w14:paraId="4A663BE8" w14:textId="3319489D" w:rsidR="00022E60" w:rsidRPr="005206CA" w:rsidRDefault="00022E60" w:rsidP="00022E60">
      <w:pPr>
        <w:pStyle w:val="Footnote"/>
      </w:pPr>
      <w:r w:rsidRPr="005206CA">
        <w:rPr>
          <w:b/>
        </w:rPr>
        <w:t>Source:</w:t>
      </w:r>
      <w:r w:rsidRPr="005206CA">
        <w:t xml:space="preserve"> </w:t>
      </w:r>
      <w:r w:rsidR="00AD5389" w:rsidRPr="005206CA">
        <w:t xml:space="preserve">Climate Change Authority based on CER </w:t>
      </w:r>
      <w:r w:rsidR="00B4754E" w:rsidRPr="005206CA">
        <w:t>2017k</w:t>
      </w:r>
      <w:r w:rsidR="00AD5389" w:rsidRPr="005206CA">
        <w:t>,</w:t>
      </w:r>
      <w:r w:rsidR="00D92544">
        <w:t>n</w:t>
      </w:r>
      <w:r w:rsidR="00AD5389" w:rsidRPr="005206CA">
        <w:t>. Data as at 16 November 2017</w:t>
      </w:r>
      <w:r w:rsidRPr="005206CA">
        <w:t>.</w:t>
      </w:r>
      <w:r w:rsidR="005F65A7" w:rsidRPr="005206CA">
        <w:t xml:space="preserve"> </w:t>
      </w:r>
    </w:p>
    <w:p w14:paraId="4F1513B7" w14:textId="77777777" w:rsidR="00022E60" w:rsidRPr="005206CA" w:rsidRDefault="00022E60">
      <w:pPr>
        <w:pStyle w:val="Heading2"/>
      </w:pPr>
      <w:bookmarkStart w:id="292" w:name="_Toc497819458"/>
      <w:bookmarkStart w:id="293" w:name="_Toc498691524"/>
      <w:bookmarkStart w:id="294" w:name="_Toc499043705"/>
      <w:bookmarkStart w:id="295" w:name="_Toc499051731"/>
      <w:bookmarkStart w:id="296" w:name="_Toc500251081"/>
      <w:bookmarkStart w:id="297" w:name="_Toc500251356"/>
      <w:bookmarkStart w:id="298" w:name="_Toc500253953"/>
      <w:bookmarkStart w:id="299" w:name="_Toc500401460"/>
      <w:bookmarkStart w:id="300" w:name="_Toc500490945"/>
      <w:bookmarkStart w:id="301" w:name="_Toc500512887"/>
      <w:bookmarkStart w:id="302" w:name="_Toc500514142"/>
      <w:bookmarkStart w:id="303" w:name="_Toc500516199"/>
      <w:r w:rsidRPr="005206CA">
        <w:t>Barriers to uptake of methods</w:t>
      </w:r>
      <w:bookmarkEnd w:id="292"/>
      <w:bookmarkEnd w:id="293"/>
      <w:bookmarkEnd w:id="294"/>
      <w:bookmarkEnd w:id="295"/>
      <w:bookmarkEnd w:id="296"/>
      <w:bookmarkEnd w:id="297"/>
      <w:bookmarkEnd w:id="298"/>
      <w:bookmarkEnd w:id="299"/>
      <w:bookmarkEnd w:id="300"/>
      <w:bookmarkEnd w:id="301"/>
      <w:bookmarkEnd w:id="302"/>
      <w:bookmarkEnd w:id="303"/>
    </w:p>
    <w:p w14:paraId="76A2248D" w14:textId="77777777" w:rsidR="00022E60" w:rsidRPr="005206CA" w:rsidRDefault="00022E60">
      <w:pPr>
        <w:pStyle w:val="Heading3"/>
      </w:pPr>
      <w:r w:rsidRPr="005206CA">
        <w:t>The agriculture sector</w:t>
      </w:r>
    </w:p>
    <w:p w14:paraId="45612398" w14:textId="77777777" w:rsidR="00022E60" w:rsidRPr="005206CA" w:rsidDel="00E53A07" w:rsidRDefault="00022E60" w:rsidP="00022E60">
      <w:pPr>
        <w:rPr>
          <w:rFonts w:ascii="Times-Roman" w:hAnsi="Times-Roman" w:cs="Times-Roman"/>
          <w:sz w:val="24"/>
          <w:szCs w:val="24"/>
          <w:lang w:eastAsia="en-AU"/>
        </w:rPr>
      </w:pPr>
      <w:r w:rsidRPr="005206CA" w:rsidDel="00E53A07">
        <w:t>Methods in the agriculture sector with no uptake include reducing emissions from dairy cows through feeding dietary additives, reducing emissions from cattle by adding nitrates to feeds and reducing emissions of nitrous oxides from fertiliser use in cotton farming systems.</w:t>
      </w:r>
      <w:r w:rsidRPr="005206CA" w:rsidDel="00E53A07">
        <w:rPr>
          <w:rFonts w:ascii="Times-Roman" w:hAnsi="Times-Roman" w:cs="Times-Roman"/>
          <w:sz w:val="24"/>
          <w:szCs w:val="24"/>
          <w:lang w:eastAsia="en-AU"/>
        </w:rPr>
        <w:t xml:space="preserve"> </w:t>
      </w:r>
    </w:p>
    <w:p w14:paraId="3A9F4720" w14:textId="62886AB8" w:rsidR="00022E60" w:rsidRPr="005206CA" w:rsidRDefault="00022E60" w:rsidP="00022E60">
      <w:r w:rsidRPr="005206CA" w:rsidDel="00E53A07">
        <w:t xml:space="preserve">Analysis undertaken for </w:t>
      </w:r>
      <w:r w:rsidRPr="005206CA" w:rsidDel="00E53A07">
        <w:rPr>
          <w:rStyle w:val="In-textChar"/>
        </w:rPr>
        <w:t>CottonInfo</w:t>
      </w:r>
      <w:r w:rsidR="009533CA" w:rsidRPr="005206CA">
        <w:rPr>
          <w:rStyle w:val="In-textChar"/>
        </w:rPr>
        <w:t xml:space="preserve"> (2015</w:t>
      </w:r>
      <w:r w:rsidR="009533CA" w:rsidRPr="005206CA">
        <w:t>)</w:t>
      </w:r>
      <w:r w:rsidRPr="005206CA" w:rsidDel="00E53A07">
        <w:t>, the cotton industry’s joint extension program, found that</w:t>
      </w:r>
      <w:r w:rsidRPr="005206CA">
        <w:t>:</w:t>
      </w:r>
      <w:r w:rsidRPr="005206CA" w:rsidDel="00E53A07">
        <w:t xml:space="preserve"> </w:t>
      </w:r>
    </w:p>
    <w:p w14:paraId="0B78665A" w14:textId="48F9E07F" w:rsidR="00022E60" w:rsidRPr="005206CA" w:rsidDel="00E53A07" w:rsidRDefault="00022E60" w:rsidP="00AC7279">
      <w:pPr>
        <w:ind w:left="284"/>
        <w:rPr>
          <w:i/>
        </w:rPr>
      </w:pPr>
      <w:r w:rsidRPr="005206CA" w:rsidDel="00E53A07">
        <w:rPr>
          <w:i/>
        </w:rPr>
        <w:t xml:space="preserve">with modest levels of abatement at a farm scale, using the Reducing Greenhouse Gas Emissions from Fertiliser in Irrigated Cotton method, growers would be unlikely to successfully compete at auction against much bigger projects in other sectors </w:t>
      </w:r>
      <w:r w:rsidR="00486A9D" w:rsidRPr="005206CA">
        <w:rPr>
          <w:i/>
        </w:rPr>
        <w:t>with larger economies of scale</w:t>
      </w:r>
      <w:r w:rsidR="009D7303" w:rsidRPr="005206CA">
        <w:rPr>
          <w:i/>
        </w:rPr>
        <w:t xml:space="preserve"> </w:t>
      </w:r>
      <w:r w:rsidR="009D7303" w:rsidRPr="005206CA">
        <w:t>(p. 4)</w:t>
      </w:r>
      <w:r w:rsidR="00486A9D" w:rsidRPr="005206CA">
        <w:t>.</w:t>
      </w:r>
      <w:r w:rsidRPr="005206CA">
        <w:rPr>
          <w:i/>
        </w:rPr>
        <w:t xml:space="preserve"> </w:t>
      </w:r>
    </w:p>
    <w:p w14:paraId="24FB485D" w14:textId="478C8551" w:rsidR="00022E60" w:rsidRPr="005206CA" w:rsidRDefault="00022E60" w:rsidP="00022E60">
      <w:pPr>
        <w:autoSpaceDE w:val="0"/>
        <w:autoSpaceDN w:val="0"/>
      </w:pPr>
      <w:r w:rsidRPr="005206CA" w:rsidDel="00E53A07">
        <w:t>The N</w:t>
      </w:r>
      <w:r w:rsidRPr="005206CA">
        <w:t xml:space="preserve">ational </w:t>
      </w:r>
      <w:r w:rsidRPr="005206CA" w:rsidDel="00E53A07">
        <w:t>F</w:t>
      </w:r>
      <w:r w:rsidRPr="005206CA">
        <w:t xml:space="preserve">armers’ </w:t>
      </w:r>
      <w:r w:rsidRPr="005206CA" w:rsidDel="00E53A07">
        <w:t>F</w:t>
      </w:r>
      <w:r w:rsidRPr="005206CA">
        <w:t>ederation</w:t>
      </w:r>
      <w:r w:rsidRPr="005206CA" w:rsidDel="00E53A07">
        <w:t xml:space="preserve"> </w:t>
      </w:r>
      <w:r w:rsidR="009B317A" w:rsidRPr="005206CA">
        <w:t xml:space="preserve">(NFF) </w:t>
      </w:r>
      <w:r w:rsidRPr="005206CA" w:rsidDel="00E53A07">
        <w:t xml:space="preserve">said in their </w:t>
      </w:r>
      <w:r w:rsidR="007E5547" w:rsidRPr="005206CA">
        <w:t>submission on</w:t>
      </w:r>
      <w:r w:rsidRPr="005206CA" w:rsidDel="00E53A07">
        <w:t xml:space="preserve"> the 2017 </w:t>
      </w:r>
      <w:r w:rsidR="002874CD" w:rsidRPr="005206CA">
        <w:t>r</w:t>
      </w:r>
      <w:r w:rsidRPr="005206CA" w:rsidDel="00E53A07">
        <w:t>eview that</w:t>
      </w:r>
      <w:r w:rsidRPr="005206CA">
        <w:t>:</w:t>
      </w:r>
      <w:r w:rsidRPr="005206CA" w:rsidDel="00E53A07">
        <w:t xml:space="preserve"> </w:t>
      </w:r>
    </w:p>
    <w:p w14:paraId="5713DE11" w14:textId="6F0F46E2" w:rsidR="00022E60" w:rsidRPr="005206CA" w:rsidDel="00E53A07" w:rsidRDefault="00022E60" w:rsidP="00AC7279">
      <w:pPr>
        <w:ind w:left="284"/>
        <w:rPr>
          <w:i/>
        </w:rPr>
      </w:pPr>
      <w:r w:rsidRPr="005206CA" w:rsidDel="00E53A07">
        <w:rPr>
          <w:i/>
        </w:rPr>
        <w:t>Individually, most of Australia’s 150,000 farm businesses are small [and for] low value carbon projects… cannot sustain the overhead costs associated with participating in the ERF in its current form. The overhead costs of projects and the financial risks (such as reduced productivity) of implementing a method often far outweigh the financial benefits of the carbon price, and, therefore, we see a number of methods barely or not ev</w:t>
      </w:r>
      <w:r w:rsidR="00486A9D" w:rsidRPr="005206CA">
        <w:rPr>
          <w:i/>
        </w:rPr>
        <w:t>en utilised</w:t>
      </w:r>
      <w:r w:rsidR="009D7303" w:rsidRPr="005206CA">
        <w:rPr>
          <w:i/>
        </w:rPr>
        <w:t xml:space="preserve"> </w:t>
      </w:r>
      <w:r w:rsidR="009D7303" w:rsidRPr="005206CA">
        <w:t>(p.14)</w:t>
      </w:r>
      <w:r w:rsidR="00486A9D" w:rsidRPr="005206CA">
        <w:t>.</w:t>
      </w:r>
    </w:p>
    <w:p w14:paraId="303B1A8D" w14:textId="74E35348" w:rsidR="00022E60" w:rsidRPr="005206CA" w:rsidRDefault="00022E60" w:rsidP="00022E60">
      <w:r w:rsidRPr="005206CA" w:rsidDel="00E53A07">
        <w:t xml:space="preserve">In their </w:t>
      </w:r>
      <w:r w:rsidR="007E5547" w:rsidRPr="005206CA">
        <w:t>submission on</w:t>
      </w:r>
      <w:r w:rsidRPr="005206CA" w:rsidDel="00E53A07">
        <w:t xml:space="preserve"> the 2017 </w:t>
      </w:r>
      <w:r w:rsidR="002874CD" w:rsidRPr="005206CA">
        <w:t>r</w:t>
      </w:r>
      <w:r w:rsidRPr="005206CA" w:rsidDel="00E53A07">
        <w:t xml:space="preserve">eview, Farmers for Climate Action </w:t>
      </w:r>
      <w:r w:rsidR="009B317A" w:rsidRPr="005206CA">
        <w:t xml:space="preserve">(FCA) </w:t>
      </w:r>
      <w:r w:rsidRPr="005206CA" w:rsidDel="00E53A07">
        <w:t>suggested that the ERF does not provide a suff</w:t>
      </w:r>
      <w:r w:rsidR="00DE0505" w:rsidRPr="005206CA">
        <w:t>icient financial incentive for any</w:t>
      </w:r>
      <w:r w:rsidRPr="005206CA" w:rsidDel="00E53A07">
        <w:t xml:space="preserve"> but the larger corporate farms. </w:t>
      </w:r>
    </w:p>
    <w:p w14:paraId="66766E09" w14:textId="77777777" w:rsidR="00022E60" w:rsidRPr="005206CA" w:rsidDel="00E53A07" w:rsidRDefault="00022E60">
      <w:pPr>
        <w:pStyle w:val="Heading3"/>
      </w:pPr>
      <w:r w:rsidRPr="005206CA">
        <w:t>The non-land sector</w:t>
      </w:r>
    </w:p>
    <w:p w14:paraId="68682ECD" w14:textId="433094FE" w:rsidR="00022E60" w:rsidRPr="005206CA" w:rsidRDefault="00022E60" w:rsidP="00022E60">
      <w:r w:rsidRPr="005206CA">
        <w:t>The methods that cover the mining, oil and gas (industrial fugitives), transport and energy efficiency sectors have the lowest levels of uptake, and together account for just under six per cent</w:t>
      </w:r>
      <w:r w:rsidRPr="005206CA" w:rsidDel="00B85681">
        <w:t xml:space="preserve"> </w:t>
      </w:r>
      <w:r w:rsidRPr="005206CA">
        <w:t>of total contracted abatement. Relatively low uptake in these sectors may be due to a number of factors</w:t>
      </w:r>
      <w:r w:rsidR="001816FC" w:rsidRPr="005206CA">
        <w:t>,</w:t>
      </w:r>
      <w:r w:rsidRPr="005206CA">
        <w:t xml:space="preserve"> which are examined below. </w:t>
      </w:r>
    </w:p>
    <w:p w14:paraId="7FD85F03" w14:textId="6D8D43E5" w:rsidR="00022E60" w:rsidRPr="005206CA" w:rsidRDefault="00022E60" w:rsidP="009B317A">
      <w:r w:rsidRPr="005206CA">
        <w:t xml:space="preserve">In their </w:t>
      </w:r>
      <w:r w:rsidR="007E5547" w:rsidRPr="005206CA">
        <w:t>submission on</w:t>
      </w:r>
      <w:r w:rsidRPr="005206CA">
        <w:t xml:space="preserve"> the 2017 </w:t>
      </w:r>
      <w:r w:rsidR="002874CD" w:rsidRPr="005206CA">
        <w:t>r</w:t>
      </w:r>
      <w:r w:rsidRPr="005206CA">
        <w:t>eview, the Bureau of Steel Manufacturers of Australia (BOSMA) said the reasons for very few industrial projects being selected through the ERF are</w:t>
      </w:r>
      <w:r w:rsidR="009B317A" w:rsidRPr="005206CA">
        <w:t xml:space="preserve"> ‘</w:t>
      </w:r>
      <w:r w:rsidRPr="005206CA">
        <w:t>auction prices are very low; accounting periods [contract lengths and crediting periods] are too short to support industrial projects; methods are restrictive</w:t>
      </w:r>
      <w:r w:rsidR="00B3258E" w:rsidRPr="005206CA">
        <w:t>;</w:t>
      </w:r>
      <w:r w:rsidRPr="005206CA">
        <w:t xml:space="preserve"> and administrative and audit costs are high</w:t>
      </w:r>
      <w:r w:rsidR="00B3258E" w:rsidRPr="005206CA">
        <w:t>’</w:t>
      </w:r>
      <w:r w:rsidRPr="005206CA">
        <w:t>.</w:t>
      </w:r>
      <w:r w:rsidRPr="005206CA">
        <w:rPr>
          <w:i/>
        </w:rPr>
        <w:t xml:space="preserve"> </w:t>
      </w:r>
      <w:r w:rsidRPr="005206CA">
        <w:t xml:space="preserve">BOSMA says that audit costs </w:t>
      </w:r>
      <w:r w:rsidR="0098037E" w:rsidRPr="005206CA">
        <w:t xml:space="preserve">per project </w:t>
      </w:r>
      <w:r w:rsidR="00003057" w:rsidRPr="005206CA">
        <w:t>‘</w:t>
      </w:r>
      <w:r w:rsidRPr="005206CA">
        <w:t>can be up to $80,000 and</w:t>
      </w:r>
      <w:r w:rsidR="00003057" w:rsidRPr="005206CA">
        <w:t>…</w:t>
      </w:r>
      <w:r w:rsidRPr="005206CA">
        <w:t xml:space="preserve"> at an auction price of $13/t </w:t>
      </w:r>
      <w:r w:rsidR="0098037E" w:rsidRPr="005206CA">
        <w:t>CO</w:t>
      </w:r>
      <w:r w:rsidR="0098037E" w:rsidRPr="005206CA">
        <w:rPr>
          <w:vertAlign w:val="subscript"/>
        </w:rPr>
        <w:t>2</w:t>
      </w:r>
      <w:r w:rsidR="0098037E" w:rsidRPr="005206CA">
        <w:t>-e</w:t>
      </w:r>
      <w:r w:rsidR="00003057" w:rsidRPr="005206CA">
        <w:t>,</w:t>
      </w:r>
      <w:r w:rsidR="0098037E" w:rsidRPr="005206CA">
        <w:t xml:space="preserve"> </w:t>
      </w:r>
      <w:r w:rsidRPr="005206CA">
        <w:t xml:space="preserve">a company would need at least a 5,000 t </w:t>
      </w:r>
      <w:r w:rsidR="0098037E" w:rsidRPr="005206CA">
        <w:t>CO</w:t>
      </w:r>
      <w:r w:rsidR="0098037E" w:rsidRPr="005206CA">
        <w:rPr>
          <w:vertAlign w:val="subscript"/>
        </w:rPr>
        <w:t>2</w:t>
      </w:r>
      <w:r w:rsidR="0098037E" w:rsidRPr="005206CA">
        <w:t xml:space="preserve">-e </w:t>
      </w:r>
      <w:r w:rsidR="00003057" w:rsidRPr="005206CA">
        <w:t>saving</w:t>
      </w:r>
      <w:r w:rsidRPr="005206CA">
        <w:t xml:space="preserve"> project to make it viable</w:t>
      </w:r>
      <w:r w:rsidR="00E45B70" w:rsidRPr="005206CA">
        <w:t>…</w:t>
      </w:r>
      <w:r w:rsidR="009B317A" w:rsidRPr="005206CA">
        <w:t>’</w:t>
      </w:r>
      <w:r w:rsidR="009D7303" w:rsidRPr="005206CA">
        <w:t xml:space="preserve"> (pp. 12-13)</w:t>
      </w:r>
      <w:r w:rsidR="009B317A" w:rsidRPr="005206CA">
        <w:t>.</w:t>
      </w:r>
      <w:r w:rsidR="009D7303" w:rsidRPr="005206CA">
        <w:t xml:space="preserve"> </w:t>
      </w:r>
    </w:p>
    <w:p w14:paraId="2AC1EF8D" w14:textId="5CE585DC" w:rsidR="00022E60" w:rsidRPr="005206CA" w:rsidRDefault="00022E60" w:rsidP="00022E60">
      <w:r w:rsidRPr="005206CA">
        <w:t>A number of other firms, industry and business organisations also cite the low auction price, the need to meet ERF requirements (particularly for additionality), the length of the contract period’s financial incentive and transaction costs as reasons for low uptake (</w:t>
      </w:r>
      <w:r w:rsidR="007136C0" w:rsidRPr="005206CA">
        <w:t>submissions on the 2017 review by</w:t>
      </w:r>
      <w:r w:rsidRPr="005206CA">
        <w:t xml:space="preserve"> Australian Industry Group, A</w:t>
      </w:r>
      <w:r w:rsidR="009B317A" w:rsidRPr="005206CA">
        <w:t>ustralian Industry Greenhouse Network</w:t>
      </w:r>
      <w:r w:rsidRPr="005206CA">
        <w:t>, A</w:t>
      </w:r>
      <w:r w:rsidR="009B317A" w:rsidRPr="005206CA">
        <w:t>ustralian Institute of Petroleum</w:t>
      </w:r>
      <w:r w:rsidRPr="005206CA">
        <w:t>, Australian Forest Products, BHP</w:t>
      </w:r>
      <w:r w:rsidR="0044644B" w:rsidRPr="005206CA">
        <w:t xml:space="preserve"> Billiton</w:t>
      </w:r>
      <w:r w:rsidRPr="005206CA">
        <w:t xml:space="preserve"> and Australian Chamber of Commerce and Industry).</w:t>
      </w:r>
    </w:p>
    <w:p w14:paraId="6D0FB8A1" w14:textId="705DC384" w:rsidR="00022E60" w:rsidRPr="005206CA" w:rsidRDefault="00022E60" w:rsidP="00022E60">
      <w:r w:rsidRPr="005206CA">
        <w:t>The Australian Local Government Association</w:t>
      </w:r>
      <w:r w:rsidR="00AE0D84" w:rsidRPr="005206CA">
        <w:t>’s</w:t>
      </w:r>
      <w:r w:rsidRPr="005206CA">
        <w:t xml:space="preserve"> </w:t>
      </w:r>
      <w:r w:rsidR="007136C0" w:rsidRPr="005206CA">
        <w:t xml:space="preserve">submission on the 2017 review </w:t>
      </w:r>
      <w:r w:rsidRPr="005206CA">
        <w:t xml:space="preserve">points to the regulatory and reporting burden of ERF energy efficiency projects as making them unattractive to local government. </w:t>
      </w:r>
    </w:p>
    <w:p w14:paraId="0F2AF27A" w14:textId="39D0A619" w:rsidR="00022E60" w:rsidRPr="005206CA" w:rsidRDefault="00022E60" w:rsidP="00022E60">
      <w:r w:rsidRPr="005206CA">
        <w:t xml:space="preserve">The relatively low uptake of energy efficiency projects in the ERF probably also reflects the fact that state schemes like the NSW Energy Savings Scheme (which provides upfront payments through deeming) offer a potentially more attractive </w:t>
      </w:r>
      <w:r w:rsidR="009E63C7">
        <w:t xml:space="preserve">financial </w:t>
      </w:r>
      <w:r w:rsidRPr="005206CA">
        <w:t>incentive (BOSMA submission</w:t>
      </w:r>
      <w:r w:rsidR="009D7303" w:rsidRPr="005206CA">
        <w:t xml:space="preserve"> on the 2017 review</w:t>
      </w:r>
      <w:r w:rsidRPr="005206CA">
        <w:t>).</w:t>
      </w:r>
    </w:p>
    <w:p w14:paraId="7DA4DAB4" w14:textId="77777777" w:rsidR="00022E60" w:rsidRPr="005206CA" w:rsidRDefault="00022E60">
      <w:pPr>
        <w:pStyle w:val="Heading3"/>
      </w:pPr>
      <w:r w:rsidRPr="005206CA">
        <w:t>Minimum bid size and aggregation</w:t>
      </w:r>
    </w:p>
    <w:p w14:paraId="386727EC" w14:textId="5C831E59" w:rsidR="00022E60" w:rsidRPr="005206CA" w:rsidRDefault="00022E60" w:rsidP="00022E60">
      <w:r w:rsidRPr="005206CA">
        <w:t>Some stakeholders (</w:t>
      </w:r>
      <w:r w:rsidR="00720387" w:rsidRPr="005206CA">
        <w:t xml:space="preserve">submissions on </w:t>
      </w:r>
      <w:r w:rsidRPr="005206CA">
        <w:t xml:space="preserve">the </w:t>
      </w:r>
      <w:r w:rsidR="00720387" w:rsidRPr="005206CA">
        <w:t xml:space="preserve">2017 review by </w:t>
      </w:r>
      <w:r w:rsidRPr="005206CA">
        <w:t xml:space="preserve">Property Council and Australian Sustainable Built Environment Council) cited the minimum bid size as a barrier to entry and also a concern that individual building owners could find themselves liable to deliver </w:t>
      </w:r>
      <w:r w:rsidR="009B317A" w:rsidRPr="005206CA">
        <w:t>Australian Carbon Credit Units (</w:t>
      </w:r>
      <w:r w:rsidRPr="005206CA">
        <w:t>ACCUs</w:t>
      </w:r>
      <w:r w:rsidR="009B317A" w:rsidRPr="005206CA">
        <w:t>)</w:t>
      </w:r>
      <w:r w:rsidRPr="005206CA">
        <w:t xml:space="preserve">, if contracted abatement </w:t>
      </w:r>
      <w:r w:rsidR="009865E2" w:rsidRPr="005206CA">
        <w:t>can</w:t>
      </w:r>
      <w:r w:rsidRPr="005206CA">
        <w:t xml:space="preserve">not be delivered. </w:t>
      </w:r>
    </w:p>
    <w:p w14:paraId="68735E60" w14:textId="508871F7" w:rsidR="00022E60" w:rsidRPr="005206CA" w:rsidRDefault="00022E60" w:rsidP="00022E60">
      <w:r w:rsidRPr="005206CA">
        <w:t xml:space="preserve">The Authority notes however that in the land sector, aggregation of projects by </w:t>
      </w:r>
      <w:r w:rsidR="009B317A" w:rsidRPr="005206CA">
        <w:t xml:space="preserve">carbon service providers </w:t>
      </w:r>
      <w:r w:rsidRPr="005206CA">
        <w:t xml:space="preserve">has apparently been reasonably successful in surmounting the challenges posed by the minimum bid restriction, and finding ways to share risks of non-delivery (although there may be concerns as to whether all </w:t>
      </w:r>
      <w:r w:rsidR="006517B3">
        <w:t>scheme</w:t>
      </w:r>
      <w:r w:rsidR="006517B3" w:rsidRPr="005206CA">
        <w:t xml:space="preserve"> </w:t>
      </w:r>
      <w:r w:rsidRPr="005206CA">
        <w:t xml:space="preserve">participants fully understand these risks). </w:t>
      </w:r>
      <w:r w:rsidR="009E63C7" w:rsidRPr="005206CA">
        <w:t>The land and landfill waste sectors may also have benefited from learning by doing under the CFI, which may have positioned them well for the ERF.</w:t>
      </w:r>
      <w:r w:rsidR="009E63C7">
        <w:t xml:space="preserve"> </w:t>
      </w:r>
      <w:r w:rsidRPr="005206CA">
        <w:t>The Authority has examined the minimum bid size and did not find compelling a</w:t>
      </w:r>
      <w:r w:rsidR="00DE0505" w:rsidRPr="005206CA">
        <w:t>rguments to change it (</w:t>
      </w:r>
      <w:r w:rsidR="00DE0505">
        <w:t xml:space="preserve">Section </w:t>
      </w:r>
      <w:r w:rsidR="004006F7">
        <w:t>6.6.1)</w:t>
      </w:r>
      <w:r w:rsidRPr="005206CA">
        <w:t xml:space="preserve">. </w:t>
      </w:r>
    </w:p>
    <w:p w14:paraId="2CF87A51" w14:textId="4C0FF3C2" w:rsidR="00022E60" w:rsidRPr="005206CA" w:rsidRDefault="00022E60">
      <w:pPr>
        <w:pStyle w:val="Heading3"/>
      </w:pPr>
      <w:r w:rsidRPr="005206CA">
        <w:t>Current A</w:t>
      </w:r>
      <w:r w:rsidR="00AC20A6" w:rsidRPr="005206CA">
        <w:t xml:space="preserve">ustralian </w:t>
      </w:r>
      <w:r w:rsidRPr="005206CA">
        <w:t>C</w:t>
      </w:r>
      <w:r w:rsidR="00AC20A6" w:rsidRPr="005206CA">
        <w:t xml:space="preserve">arbon </w:t>
      </w:r>
      <w:r w:rsidRPr="005206CA">
        <w:t>C</w:t>
      </w:r>
      <w:r w:rsidR="00AC20A6" w:rsidRPr="005206CA">
        <w:t xml:space="preserve">redit </w:t>
      </w:r>
      <w:r w:rsidRPr="005206CA">
        <w:t>U</w:t>
      </w:r>
      <w:r w:rsidR="00AC20A6" w:rsidRPr="005206CA">
        <w:t>nit</w:t>
      </w:r>
      <w:r w:rsidRPr="005206CA">
        <w:t xml:space="preserve"> prices</w:t>
      </w:r>
    </w:p>
    <w:p w14:paraId="53794F6A" w14:textId="1604B7CA" w:rsidR="00022E60" w:rsidRPr="005206CA" w:rsidRDefault="00022E60" w:rsidP="00022E60">
      <w:r w:rsidRPr="005206CA">
        <w:t xml:space="preserve">As discussed earlier, a number of submissions </w:t>
      </w:r>
      <w:r w:rsidR="009D7303" w:rsidRPr="005206CA">
        <w:t>on</w:t>
      </w:r>
      <w:r w:rsidRPr="005206CA">
        <w:t xml:space="preserve"> this review and the 2017 review say that the anticipated return on ERF participation given current ACCU prices is insufficient for them to invest in projects and bid at auction (</w:t>
      </w:r>
      <w:r w:rsidR="00720387" w:rsidRPr="005206CA">
        <w:t>submissions o</w:t>
      </w:r>
      <w:r w:rsidR="00E84D93" w:rsidRPr="005206CA">
        <w:t>n</w:t>
      </w:r>
      <w:r w:rsidR="00720387" w:rsidRPr="005206CA">
        <w:t xml:space="preserve"> the 2017 </w:t>
      </w:r>
      <w:r w:rsidR="00B4131D" w:rsidRPr="005206CA">
        <w:t>review</w:t>
      </w:r>
      <w:r w:rsidR="00720387" w:rsidRPr="005206CA">
        <w:t xml:space="preserve"> by </w:t>
      </w:r>
      <w:r w:rsidRPr="005206CA">
        <w:t>NFF, BOSMA</w:t>
      </w:r>
      <w:r w:rsidR="00720387" w:rsidRPr="005206CA">
        <w:t>; submissions o</w:t>
      </w:r>
      <w:r w:rsidR="00E84D93" w:rsidRPr="005206CA">
        <w:t>n</w:t>
      </w:r>
      <w:r w:rsidR="00720387" w:rsidRPr="005206CA">
        <w:t xml:space="preserve"> this review by</w:t>
      </w:r>
      <w:r w:rsidRPr="005206CA">
        <w:t xml:space="preserve"> Climate Friendly, Country Carbon, A</w:t>
      </w:r>
      <w:r w:rsidR="009B317A" w:rsidRPr="005206CA">
        <w:t>ustralian Gas Infrastructure Group</w:t>
      </w:r>
      <w:r w:rsidRPr="005206CA">
        <w:t>, A</w:t>
      </w:r>
      <w:r w:rsidR="009B317A" w:rsidRPr="005206CA">
        <w:t xml:space="preserve">rnhem </w:t>
      </w:r>
      <w:r w:rsidRPr="005206CA">
        <w:t>L</w:t>
      </w:r>
      <w:r w:rsidR="009B317A" w:rsidRPr="005206CA">
        <w:t xml:space="preserve">and Fire </w:t>
      </w:r>
      <w:r w:rsidRPr="005206CA">
        <w:t>A</w:t>
      </w:r>
      <w:r w:rsidR="009B317A" w:rsidRPr="005206CA">
        <w:t>batement</w:t>
      </w:r>
      <w:r w:rsidRPr="005206CA">
        <w:t xml:space="preserve"> and FCA). </w:t>
      </w:r>
    </w:p>
    <w:p w14:paraId="6FE8751D" w14:textId="2831597F" w:rsidR="00022E60" w:rsidRPr="005206CA" w:rsidRDefault="00022E60" w:rsidP="00022E60">
      <w:r w:rsidRPr="005206CA">
        <w:t xml:space="preserve">The marginal abatement cost curve estimated by Energetics for </w:t>
      </w:r>
      <w:r w:rsidR="00F37384" w:rsidRPr="005206CA">
        <w:t>the Department</w:t>
      </w:r>
      <w:r w:rsidRPr="005206CA">
        <w:t xml:space="preserve"> (</w:t>
      </w:r>
      <w:r w:rsidRPr="005206CA">
        <w:rPr>
          <w:rStyle w:val="In-textChar"/>
        </w:rPr>
        <w:t>DoEE 2016</w:t>
      </w:r>
      <w:r w:rsidR="00BF1160" w:rsidRPr="005206CA">
        <w:rPr>
          <w:rStyle w:val="In-textChar"/>
        </w:rPr>
        <w:t>b</w:t>
      </w:r>
      <w:r w:rsidRPr="005206CA">
        <w:t>) shows that for the vast majority of abatement options, the marginal abatement cost is either negative (indicating the existence of a non-price barrier, which would not be addressed through the ERF alone), or costs are significantly greater than ERF prices. For example, in the land sector costs are up to $85 per tonne for restoring degraded farmland, and around $25 per tonne for reforestation activities – more than twice the average ACCU price. Similar results were found in earlier work by Climate Works in 2010 (</w:t>
      </w:r>
      <w:r w:rsidRPr="005206CA">
        <w:rPr>
          <w:rStyle w:val="In-textChar"/>
        </w:rPr>
        <w:t>ClimateWorks</w:t>
      </w:r>
      <w:r w:rsidR="00323834" w:rsidRPr="005206CA">
        <w:rPr>
          <w:rStyle w:val="In-textChar"/>
        </w:rPr>
        <w:t xml:space="preserve"> Australia</w:t>
      </w:r>
      <w:r w:rsidRPr="005206CA">
        <w:rPr>
          <w:rStyle w:val="In-textChar"/>
        </w:rPr>
        <w:t xml:space="preserve"> 2010</w:t>
      </w:r>
      <w:r w:rsidRPr="005206CA">
        <w:t xml:space="preserve">). As outlined in </w:t>
      </w:r>
      <w:r w:rsidR="00DE0505" w:rsidRPr="00AC7279">
        <w:rPr>
          <w:rStyle w:val="SectionChapterChar"/>
        </w:rPr>
        <w:t xml:space="preserve">Section </w:t>
      </w:r>
      <w:r w:rsidR="009A1F0D" w:rsidRPr="005206CA">
        <w:rPr>
          <w:rStyle w:val="SectionChapterChar"/>
        </w:rPr>
        <w:fldChar w:fldCharType="begin"/>
      </w:r>
      <w:r w:rsidR="009A1F0D" w:rsidRPr="005206CA">
        <w:rPr>
          <w:rStyle w:val="SectionChapterChar"/>
        </w:rPr>
        <w:instrText xml:space="preserve"> REF _Ref500244745 \r \h </w:instrText>
      </w:r>
      <w:r w:rsidR="005206CA">
        <w:rPr>
          <w:rStyle w:val="SectionChapterChar"/>
        </w:rPr>
        <w:instrText xml:space="preserve"> \* MERGEFORMAT </w:instrText>
      </w:r>
      <w:r w:rsidR="009A1F0D" w:rsidRPr="005206CA">
        <w:rPr>
          <w:rStyle w:val="SectionChapterChar"/>
        </w:rPr>
      </w:r>
      <w:r w:rsidR="009A1F0D" w:rsidRPr="005206CA">
        <w:rPr>
          <w:rStyle w:val="SectionChapterChar"/>
        </w:rPr>
        <w:fldChar w:fldCharType="separate"/>
      </w:r>
      <w:r w:rsidR="00FA2002">
        <w:rPr>
          <w:rStyle w:val="SectionChapterChar"/>
        </w:rPr>
        <w:t>14.2</w:t>
      </w:r>
      <w:r w:rsidR="009A1F0D" w:rsidRPr="005206CA">
        <w:rPr>
          <w:rStyle w:val="SectionChapterChar"/>
        </w:rPr>
        <w:fldChar w:fldCharType="end"/>
      </w:r>
      <w:r w:rsidRPr="005206CA">
        <w:t>, the Authority is of the view that new research and development could further reduce these costs, making further abatement options economic under the ERF in the future (</w:t>
      </w:r>
      <w:r w:rsidRPr="005206CA">
        <w:rPr>
          <w:rStyle w:val="In-textChar"/>
        </w:rPr>
        <w:t>Do</w:t>
      </w:r>
      <w:r w:rsidR="00323834" w:rsidRPr="005206CA">
        <w:rPr>
          <w:rStyle w:val="In-textChar"/>
        </w:rPr>
        <w:t>E</w:t>
      </w:r>
      <w:r w:rsidRPr="005206CA">
        <w:rPr>
          <w:rStyle w:val="In-textChar"/>
        </w:rPr>
        <w:t>E 2016</w:t>
      </w:r>
      <w:r w:rsidR="00BF1160" w:rsidRPr="005206CA">
        <w:rPr>
          <w:rStyle w:val="In-textChar"/>
        </w:rPr>
        <w:t>b</w:t>
      </w:r>
      <w:r w:rsidR="00A36282">
        <w:rPr>
          <w:rStyle w:val="In-textChar"/>
        </w:rPr>
        <w:t xml:space="preserve">; </w:t>
      </w:r>
      <w:r w:rsidRPr="005206CA">
        <w:rPr>
          <w:rStyle w:val="In-textChar"/>
        </w:rPr>
        <w:t>ClimateWorks</w:t>
      </w:r>
      <w:r w:rsidR="00323834" w:rsidRPr="005206CA">
        <w:rPr>
          <w:rStyle w:val="In-textChar"/>
        </w:rPr>
        <w:t xml:space="preserve"> Australia</w:t>
      </w:r>
      <w:r w:rsidRPr="005206CA">
        <w:rPr>
          <w:rStyle w:val="In-textChar"/>
        </w:rPr>
        <w:t xml:space="preserve"> 2010</w:t>
      </w:r>
      <w:r w:rsidRPr="005206CA">
        <w:t>).</w:t>
      </w:r>
    </w:p>
    <w:p w14:paraId="43E1D10C" w14:textId="0843358E" w:rsidR="00022E60" w:rsidRPr="005206CA" w:rsidRDefault="00022E60" w:rsidP="00022E60">
      <w:r w:rsidRPr="005206CA">
        <w:t xml:space="preserve">The ERF was explicitly designed to purchase lowest cost abatement through its auction process so the fact that ERF projects in sectors with higher abatement costs are not being registered and awarded </w:t>
      </w:r>
      <w:r w:rsidR="000E6CCB">
        <w:t>G</w:t>
      </w:r>
      <w:r w:rsidRPr="005206CA">
        <w:t>overnment contracts does not necessarily point to a problem in the scheme.</w:t>
      </w:r>
    </w:p>
    <w:p w14:paraId="4519DB33" w14:textId="77777777" w:rsidR="00022E60" w:rsidRPr="005206CA" w:rsidRDefault="00022E60">
      <w:pPr>
        <w:pStyle w:val="Heading3"/>
      </w:pPr>
      <w:r w:rsidRPr="005206CA">
        <w:t>Complexity of methods and processes</w:t>
      </w:r>
    </w:p>
    <w:p w14:paraId="0BFB0CB2" w14:textId="1E9E7961" w:rsidR="00022E60" w:rsidRPr="005206CA" w:rsidRDefault="00022E60" w:rsidP="00022E60">
      <w:r w:rsidRPr="005206CA">
        <w:t>Some stakeholders have suggested that another barrier to participation is the complexity of the ERF’s methods, tools and registration processes (</w:t>
      </w:r>
      <w:r w:rsidR="00E84D93" w:rsidRPr="005206CA">
        <w:t xml:space="preserve">submissions on this review by </w:t>
      </w:r>
      <w:r w:rsidRPr="005206CA">
        <w:t>A</w:t>
      </w:r>
      <w:r w:rsidR="00AC20A6" w:rsidRPr="005206CA">
        <w:t xml:space="preserve">ustralian Petroleum </w:t>
      </w:r>
      <w:r w:rsidRPr="005206CA">
        <w:t>P</w:t>
      </w:r>
      <w:r w:rsidR="00AC20A6" w:rsidRPr="005206CA">
        <w:t xml:space="preserve">roduction and </w:t>
      </w:r>
      <w:r w:rsidRPr="005206CA">
        <w:t>E</w:t>
      </w:r>
      <w:r w:rsidR="00AC20A6" w:rsidRPr="005206CA">
        <w:t xml:space="preserve">xploration </w:t>
      </w:r>
      <w:r w:rsidRPr="005206CA">
        <w:t>A</w:t>
      </w:r>
      <w:r w:rsidR="00AC20A6" w:rsidRPr="005206CA">
        <w:t>ssociation</w:t>
      </w:r>
      <w:r w:rsidRPr="005206CA">
        <w:t>, K</w:t>
      </w:r>
      <w:r w:rsidR="00AC20A6" w:rsidRPr="005206CA">
        <w:t xml:space="preserve">imberley </w:t>
      </w:r>
      <w:r w:rsidRPr="005206CA">
        <w:t>L</w:t>
      </w:r>
      <w:r w:rsidR="00AC20A6" w:rsidRPr="005206CA">
        <w:t xml:space="preserve">and </w:t>
      </w:r>
      <w:r w:rsidRPr="005206CA">
        <w:t>C</w:t>
      </w:r>
      <w:r w:rsidR="00AC20A6" w:rsidRPr="005206CA">
        <w:t>ouncil (KLC)</w:t>
      </w:r>
      <w:r w:rsidRPr="005206CA">
        <w:t>, Climate Friendly</w:t>
      </w:r>
      <w:r w:rsidR="00C0236C" w:rsidRPr="005206CA">
        <w:t xml:space="preserve"> and</w:t>
      </w:r>
      <w:r w:rsidRPr="005206CA">
        <w:t xml:space="preserve"> Southern Atherton Tablelands Revegetation Alliance). For example, K</w:t>
      </w:r>
      <w:r w:rsidR="00AC20A6" w:rsidRPr="005206CA">
        <w:t>LC</w:t>
      </w:r>
      <w:r w:rsidR="00DE0505" w:rsidRPr="005206CA">
        <w:t xml:space="preserve"> said that ‘</w:t>
      </w:r>
      <w:r w:rsidRPr="005206CA">
        <w:t>the complexity of the [savanna burning] method and legislation often requires native title holders to seek external support to register a project and maintain ongoing</w:t>
      </w:r>
      <w:r w:rsidR="00DE0505" w:rsidRPr="005206CA">
        <w:t xml:space="preserve"> project compliance obligations’</w:t>
      </w:r>
      <w:r w:rsidRPr="005206CA">
        <w:t xml:space="preserve"> (</w:t>
      </w:r>
      <w:r w:rsidR="007E5547" w:rsidRPr="005206CA">
        <w:t>submission on</w:t>
      </w:r>
      <w:r w:rsidRPr="005206CA">
        <w:t xml:space="preserve"> this review</w:t>
      </w:r>
      <w:r w:rsidR="001E749B" w:rsidRPr="005206CA">
        <w:t>, p. 3</w:t>
      </w:r>
      <w:r w:rsidRPr="005206CA">
        <w:t xml:space="preserve">). </w:t>
      </w:r>
    </w:p>
    <w:p w14:paraId="0578B8AB" w14:textId="22BCDBF9" w:rsidR="00DE0505" w:rsidRPr="005206CA" w:rsidRDefault="00022E60" w:rsidP="00E55312">
      <w:pPr>
        <w:rPr>
          <w:i/>
        </w:rPr>
      </w:pPr>
      <w:r w:rsidRPr="005206CA">
        <w:t>Climate Friendly said that</w:t>
      </w:r>
      <w:r w:rsidR="001E749B" w:rsidRPr="005206CA">
        <w:rPr>
          <w:i/>
        </w:rPr>
        <w:t xml:space="preserve"> ‘</w:t>
      </w:r>
      <w:r w:rsidRPr="005206CA">
        <w:t>The eligibility criteria for many methods are overly specific, meaning a minor deviation from the criteria renders a project ineligible, even though [it] would deliver genuine abatement</w:t>
      </w:r>
      <w:r w:rsidR="001E749B" w:rsidRPr="005206CA">
        <w:t>’</w:t>
      </w:r>
      <w:r w:rsidR="001E749B" w:rsidRPr="005206CA">
        <w:rPr>
          <w:i/>
        </w:rPr>
        <w:t xml:space="preserve"> </w:t>
      </w:r>
      <w:r w:rsidR="001E749B" w:rsidRPr="005206CA">
        <w:t>(submission on this review, p. 4)</w:t>
      </w:r>
      <w:r w:rsidRPr="005206CA">
        <w:t>.</w:t>
      </w:r>
      <w:r w:rsidRPr="005206CA">
        <w:rPr>
          <w:i/>
        </w:rPr>
        <w:t xml:space="preserve"> </w:t>
      </w:r>
    </w:p>
    <w:p w14:paraId="03511C9D" w14:textId="631B0D7E" w:rsidR="00022E60" w:rsidRPr="005206CA" w:rsidRDefault="00022E60" w:rsidP="00022E60">
      <w:r w:rsidRPr="005206CA">
        <w:t xml:space="preserve">Consequently, Climate Friendly suggests that some method eligibility criteria could be made less prescriptive </w:t>
      </w:r>
      <w:r w:rsidR="009865E2" w:rsidRPr="005206CA">
        <w:t xml:space="preserve">by being </w:t>
      </w:r>
      <w:r w:rsidRPr="005206CA">
        <w:t xml:space="preserve">converted to principles, rather than criteria. </w:t>
      </w:r>
    </w:p>
    <w:p w14:paraId="59C3781E" w14:textId="156A48F4" w:rsidR="00022E60" w:rsidRPr="005206CA" w:rsidRDefault="00172B66" w:rsidP="00022E60">
      <w:r w:rsidRPr="005206CA">
        <w:t>In the past, s</w:t>
      </w:r>
      <w:r w:rsidR="00022E60" w:rsidRPr="005206CA">
        <w:t>ome stakeholders</w:t>
      </w:r>
      <w:r w:rsidRPr="005206CA">
        <w:t xml:space="preserve"> have pointed</w:t>
      </w:r>
      <w:r w:rsidR="00022E60" w:rsidRPr="005206CA">
        <w:t xml:space="preserve"> to the U</w:t>
      </w:r>
      <w:r w:rsidR="00AC20A6" w:rsidRPr="005206CA">
        <w:t xml:space="preserve">nited </w:t>
      </w:r>
      <w:r w:rsidR="00022E60" w:rsidRPr="005206CA">
        <w:t>N</w:t>
      </w:r>
      <w:r w:rsidR="00AC20A6" w:rsidRPr="005206CA">
        <w:t>ation</w:t>
      </w:r>
      <w:r w:rsidR="00B4131D" w:rsidRPr="005206CA">
        <w:t>s</w:t>
      </w:r>
      <w:r w:rsidR="00AC20A6" w:rsidRPr="005206CA">
        <w:t xml:space="preserve"> </w:t>
      </w:r>
      <w:r w:rsidR="00022E60" w:rsidRPr="005206CA">
        <w:t>F</w:t>
      </w:r>
      <w:r w:rsidR="00AC20A6" w:rsidRPr="005206CA">
        <w:t xml:space="preserve">ramework </w:t>
      </w:r>
      <w:r w:rsidR="00022E60" w:rsidRPr="005206CA">
        <w:t>C</w:t>
      </w:r>
      <w:r w:rsidR="00AC20A6" w:rsidRPr="005206CA">
        <w:t xml:space="preserve">onvention on </w:t>
      </w:r>
      <w:r w:rsidR="00022E60" w:rsidRPr="005206CA">
        <w:t>C</w:t>
      </w:r>
      <w:r w:rsidR="00AC20A6" w:rsidRPr="005206CA">
        <w:t xml:space="preserve">limate </w:t>
      </w:r>
      <w:r w:rsidR="00022E60" w:rsidRPr="005206CA">
        <w:t>C</w:t>
      </w:r>
      <w:r w:rsidR="00AC20A6" w:rsidRPr="005206CA">
        <w:t>hange</w:t>
      </w:r>
      <w:r w:rsidR="00022E60" w:rsidRPr="005206CA">
        <w:t xml:space="preserve">’s Clean Development Mechanism as a model and suggest that the ERF should follow a similar approach whereby the scheme sets minimum project requirements for environmental integrity, measurement, reporting and verification, and the individual project documentation outlines how these requirements will be met. The Authority is of the view that this approach would shift complexity from the methods (where they apply to all projects of a similar type) to the individual project documents themselves. In the Authority’s view, this would inevitably result in at least the perception of inconsistent decision making across different projects, and open the scheme up to a greater risk of administrative challenge. </w:t>
      </w:r>
    </w:p>
    <w:p w14:paraId="3AE402E0" w14:textId="1FC3F0F9" w:rsidR="00022E60" w:rsidRPr="005206CA" w:rsidRDefault="001E3C5C" w:rsidP="00022E60">
      <w:r w:rsidRPr="005206CA">
        <w:t xml:space="preserve">The ERF is complex but </w:t>
      </w:r>
      <w:r w:rsidR="008C0F31" w:rsidRPr="005206CA">
        <w:t xml:space="preserve">some complexity may be unavoidable if the scheme is to deliver genuine abatement. </w:t>
      </w:r>
      <w:r w:rsidR="005B2ADF" w:rsidRPr="005206CA">
        <w:t>T</w:t>
      </w:r>
      <w:r w:rsidR="009865E2" w:rsidRPr="005206CA">
        <w:t xml:space="preserve">he </w:t>
      </w:r>
      <w:r w:rsidR="00022E60" w:rsidRPr="005206CA">
        <w:t>methods themselves are legislative instruments. Th</w:t>
      </w:r>
      <w:r w:rsidR="009865E2" w:rsidRPr="005206CA">
        <w:t>e</w:t>
      </w:r>
      <w:r w:rsidR="00022E60" w:rsidRPr="005206CA">
        <w:t xml:space="preserve"> legislative basis </w:t>
      </w:r>
      <w:r w:rsidR="009865E2" w:rsidRPr="005206CA">
        <w:t>of the ERF</w:t>
      </w:r>
      <w:r w:rsidR="00022E60" w:rsidRPr="005206CA">
        <w:t xml:space="preserve"> carries a number of benefits for the scheme, including increased levels of certainty for </w:t>
      </w:r>
      <w:r w:rsidR="001213C9">
        <w:t xml:space="preserve">scheme </w:t>
      </w:r>
      <w:r w:rsidR="00022E60" w:rsidRPr="005206CA">
        <w:t xml:space="preserve">participants compared to schemes that rely solely on administrative guidance. The environmental integrity of the scheme is bolstered by the CER’s compliance role, which also has a legislative basis. The Authority considers that simplifying a method or easing a project’s requirements to increase uptake </w:t>
      </w:r>
      <w:r w:rsidR="009865E2" w:rsidRPr="005206CA">
        <w:t xml:space="preserve">could </w:t>
      </w:r>
      <w:r w:rsidR="00022E60" w:rsidRPr="005206CA">
        <w:t xml:space="preserve">compromise integrity standards. The Authority does however support the ongoing work of the </w:t>
      </w:r>
      <w:r w:rsidR="00F37384" w:rsidRPr="005206CA">
        <w:t>Department</w:t>
      </w:r>
      <w:r w:rsidR="00022E60" w:rsidRPr="005206CA">
        <w:t xml:space="preserve"> and CER in developing clear guidance to outline the methods and their requirements. </w:t>
      </w:r>
    </w:p>
    <w:p w14:paraId="584F0C09" w14:textId="77777777" w:rsidR="00022E60" w:rsidRPr="005206CA" w:rsidRDefault="00022E60">
      <w:pPr>
        <w:pStyle w:val="Heading2"/>
      </w:pPr>
      <w:bookmarkStart w:id="304" w:name="_Toc498690775"/>
      <w:bookmarkStart w:id="305" w:name="_Toc498692134"/>
      <w:bookmarkStart w:id="306" w:name="_Toc498690776"/>
      <w:bookmarkStart w:id="307" w:name="_Toc498692135"/>
      <w:bookmarkStart w:id="308" w:name="_Toc498690777"/>
      <w:bookmarkStart w:id="309" w:name="_Toc498692136"/>
      <w:bookmarkStart w:id="310" w:name="_Toc498690778"/>
      <w:bookmarkStart w:id="311" w:name="_Toc498692137"/>
      <w:bookmarkStart w:id="312" w:name="_Toc494905109"/>
      <w:bookmarkStart w:id="313" w:name="_Toc497819459"/>
      <w:bookmarkStart w:id="314" w:name="_Toc498691525"/>
      <w:bookmarkStart w:id="315" w:name="_Toc499043706"/>
      <w:bookmarkStart w:id="316" w:name="_Toc499051732"/>
      <w:bookmarkStart w:id="317" w:name="_Toc500251082"/>
      <w:bookmarkStart w:id="318" w:name="_Toc500251357"/>
      <w:bookmarkStart w:id="319" w:name="_Toc500253954"/>
      <w:bookmarkStart w:id="320" w:name="_Toc500401461"/>
      <w:bookmarkStart w:id="321" w:name="_Toc500490946"/>
      <w:bookmarkStart w:id="322" w:name="_Toc500512888"/>
      <w:bookmarkStart w:id="323" w:name="_Toc500514143"/>
      <w:bookmarkStart w:id="324" w:name="_Toc500516200"/>
      <w:bookmarkEnd w:id="304"/>
      <w:bookmarkEnd w:id="305"/>
      <w:bookmarkEnd w:id="306"/>
      <w:bookmarkEnd w:id="307"/>
      <w:bookmarkEnd w:id="308"/>
      <w:bookmarkEnd w:id="309"/>
      <w:bookmarkEnd w:id="310"/>
      <w:bookmarkEnd w:id="311"/>
      <w:r w:rsidRPr="005206CA">
        <w:t>Opportunities for new methods</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6B8DAC1A" w14:textId="3C6643BA" w:rsidR="00022E60" w:rsidRPr="005206CA" w:rsidRDefault="00022E60" w:rsidP="00022E60">
      <w:r w:rsidRPr="005206CA">
        <w:t>Stakeholders have proposed a number of new methods for the ERF. These include a whole-farm method to capture multiple on-farm activities under the one project (</w:t>
      </w:r>
      <w:r w:rsidRPr="005206CA">
        <w:rPr>
          <w:rStyle w:val="In-textChar"/>
        </w:rPr>
        <w:t xml:space="preserve">CMI </w:t>
      </w:r>
      <w:r w:rsidR="00E84D93" w:rsidRPr="005206CA">
        <w:rPr>
          <w:rStyle w:val="In-textChar"/>
        </w:rPr>
        <w:t>2017</w:t>
      </w:r>
      <w:r w:rsidR="00A36282">
        <w:rPr>
          <w:rStyle w:val="In-textChar"/>
        </w:rPr>
        <w:t>;</w:t>
      </w:r>
      <w:r w:rsidRPr="005206CA">
        <w:rPr>
          <w:rStyle w:val="In-textChar"/>
        </w:rPr>
        <w:t xml:space="preserve"> </w:t>
      </w:r>
      <w:r w:rsidR="00D61C1D" w:rsidRPr="005206CA">
        <w:rPr>
          <w:rStyle w:val="In-textChar"/>
        </w:rPr>
        <w:t xml:space="preserve">EHP </w:t>
      </w:r>
      <w:r w:rsidRPr="005206CA">
        <w:rPr>
          <w:rStyle w:val="In-textChar"/>
        </w:rPr>
        <w:t>2017</w:t>
      </w:r>
      <w:r w:rsidRPr="005206CA">
        <w:t>), additional fertiliser use methods (</w:t>
      </w:r>
      <w:r w:rsidR="00A724EA" w:rsidRPr="005206CA">
        <w:t xml:space="preserve">EHP </w:t>
      </w:r>
      <w:r w:rsidRPr="005206CA">
        <w:t>2017), woodland restoration (</w:t>
      </w:r>
      <w:r w:rsidR="00D61C1D" w:rsidRPr="005206CA">
        <w:rPr>
          <w:rStyle w:val="In-textChar"/>
        </w:rPr>
        <w:t xml:space="preserve">EHP </w:t>
      </w:r>
      <w:r w:rsidRPr="005206CA">
        <w:rPr>
          <w:rStyle w:val="In-textChar"/>
        </w:rPr>
        <w:t>2017</w:t>
      </w:r>
      <w:r w:rsidRPr="005206CA">
        <w:t>), changes to eligibility criteria for the avoided deforestation method (</w:t>
      </w:r>
      <w:r w:rsidR="001C391A">
        <w:t xml:space="preserve">Peter </w:t>
      </w:r>
      <w:r w:rsidRPr="005206CA">
        <w:t>Yench</w:t>
      </w:r>
      <w:r w:rsidR="001C391A">
        <w:t>’s</w:t>
      </w:r>
      <w:r w:rsidR="00E84D93" w:rsidRPr="005206CA">
        <w:t xml:space="preserve"> submission on this review</w:t>
      </w:r>
      <w:r w:rsidRPr="005206CA">
        <w:t xml:space="preserve">), </w:t>
      </w:r>
      <w:r w:rsidR="001957FF" w:rsidRPr="005206CA">
        <w:t xml:space="preserve">a method </w:t>
      </w:r>
      <w:r w:rsidRPr="005206CA">
        <w:t xml:space="preserve">for existing conservation land </w:t>
      </w:r>
      <w:r w:rsidR="00E03A2C" w:rsidRPr="005206CA">
        <w:t xml:space="preserve">(Trust for Nature submission </w:t>
      </w:r>
      <w:r w:rsidR="00632D55" w:rsidRPr="005206CA">
        <w:t>on</w:t>
      </w:r>
      <w:r w:rsidR="00E03A2C" w:rsidRPr="005206CA">
        <w:t xml:space="preserve"> the 2017 </w:t>
      </w:r>
      <w:r w:rsidR="00C11857" w:rsidRPr="005206CA">
        <w:t>r</w:t>
      </w:r>
      <w:r w:rsidR="00E03A2C" w:rsidRPr="005206CA">
        <w:t xml:space="preserve">eview) </w:t>
      </w:r>
      <w:r w:rsidRPr="005206CA">
        <w:t xml:space="preserve">and </w:t>
      </w:r>
      <w:r w:rsidR="001957FF" w:rsidRPr="005206CA">
        <w:t xml:space="preserve">a </w:t>
      </w:r>
      <w:r w:rsidRPr="005206CA">
        <w:t xml:space="preserve">blue carbon </w:t>
      </w:r>
      <w:r w:rsidR="001957FF" w:rsidRPr="005206CA">
        <w:t xml:space="preserve">method </w:t>
      </w:r>
      <w:r w:rsidRPr="005206CA">
        <w:t>(V</w:t>
      </w:r>
      <w:r w:rsidR="00E84D93" w:rsidRPr="005206CA">
        <w:t>ictorian Catchment Management Authorities submission on the 2017 review</w:t>
      </w:r>
      <w:r w:rsidRPr="005206CA">
        <w:t xml:space="preserve">, </w:t>
      </w:r>
      <w:r w:rsidRPr="00AC7279">
        <w:rPr>
          <w:rStyle w:val="In-textChar"/>
        </w:rPr>
        <w:t>CMI</w:t>
      </w:r>
      <w:r w:rsidR="00E84D93" w:rsidRPr="00AC7279">
        <w:rPr>
          <w:rStyle w:val="In-textChar"/>
        </w:rPr>
        <w:t xml:space="preserve"> 2017</w:t>
      </w:r>
      <w:r w:rsidR="00A36282">
        <w:t>;</w:t>
      </w:r>
      <w:r w:rsidRPr="005206CA">
        <w:t xml:space="preserve"> </w:t>
      </w:r>
      <w:r w:rsidR="00D61C1D" w:rsidRPr="005206CA">
        <w:rPr>
          <w:rStyle w:val="In-textChar"/>
        </w:rPr>
        <w:t xml:space="preserve">EHP </w:t>
      </w:r>
      <w:r w:rsidR="00E84D93" w:rsidRPr="005206CA">
        <w:rPr>
          <w:rStyle w:val="In-textChar"/>
        </w:rPr>
        <w:t>2017</w:t>
      </w:r>
      <w:r w:rsidRPr="005206CA">
        <w:t xml:space="preserve">). </w:t>
      </w:r>
    </w:p>
    <w:p w14:paraId="351064CC" w14:textId="6AB8397D" w:rsidR="00022E60" w:rsidRPr="005206CA" w:rsidRDefault="00022E60" w:rsidP="00022E60">
      <w:r w:rsidRPr="005206CA">
        <w:t>The Authority is of the view that some of these methods may not credit additional abatement (</w:t>
      </w:r>
      <w:r w:rsidR="00D159E8" w:rsidRPr="005206CA">
        <w:t>for example,</w:t>
      </w:r>
      <w:r w:rsidRPr="005206CA">
        <w:t xml:space="preserve"> on existing conservation land or changes to eligibility for avoided deforestation)</w:t>
      </w:r>
      <w:r w:rsidR="00062355" w:rsidRPr="005206CA">
        <w:t>.</w:t>
      </w:r>
      <w:r w:rsidRPr="005206CA">
        <w:t xml:space="preserve"> </w:t>
      </w:r>
      <w:r w:rsidR="00062355" w:rsidRPr="005206CA">
        <w:t>I</w:t>
      </w:r>
      <w:r w:rsidRPr="005206CA">
        <w:t xml:space="preserve">n some cases it is unclear whether </w:t>
      </w:r>
      <w:r w:rsidR="00010AE7" w:rsidRPr="005206CA">
        <w:t xml:space="preserve">emissions reductions from activities (such as </w:t>
      </w:r>
      <w:r w:rsidR="00EC7F59" w:rsidRPr="005206CA">
        <w:t xml:space="preserve">building </w:t>
      </w:r>
      <w:r w:rsidR="00062355" w:rsidRPr="005206CA">
        <w:t>‘</w:t>
      </w:r>
      <w:r w:rsidR="00EC7F59" w:rsidRPr="005206CA">
        <w:t>blue carbon</w:t>
      </w:r>
      <w:r w:rsidR="00062355" w:rsidRPr="005206CA">
        <w:t>’</w:t>
      </w:r>
      <w:r w:rsidR="00EC7F59" w:rsidRPr="005206CA">
        <w:t xml:space="preserve"> </w:t>
      </w:r>
      <w:r w:rsidR="00062355" w:rsidRPr="005206CA">
        <w:t>from</w:t>
      </w:r>
      <w:r w:rsidR="00EC7F59" w:rsidRPr="005206CA">
        <w:t xml:space="preserve"> sea grasses) </w:t>
      </w:r>
      <w:r w:rsidRPr="005206CA">
        <w:t xml:space="preserve">can be counted towards Australia’s international </w:t>
      </w:r>
      <w:r w:rsidR="00010AE7" w:rsidRPr="005206CA">
        <w:t xml:space="preserve">target </w:t>
      </w:r>
      <w:r w:rsidRPr="005206CA">
        <w:t>commitments</w:t>
      </w:r>
      <w:r w:rsidR="00632D55" w:rsidRPr="005206CA">
        <w:t>.</w:t>
      </w:r>
      <w:r w:rsidRPr="005206CA">
        <w:t xml:space="preserve"> </w:t>
      </w:r>
    </w:p>
    <w:p w14:paraId="4833057D" w14:textId="0BEFAFDD" w:rsidR="00022E60" w:rsidRPr="005206CA" w:rsidRDefault="00022E60" w:rsidP="00022E60">
      <w:pPr>
        <w:rPr>
          <w:lang w:eastAsia="en-AU"/>
        </w:rPr>
      </w:pPr>
      <w:r w:rsidRPr="005206CA">
        <w:t>A number of stakeholders also pointed to the need for research and development funding to identify opportunities for new methods to capture significant abatement (Carbon Market Institute</w:t>
      </w:r>
      <w:r w:rsidR="00277AD5" w:rsidRPr="005206CA">
        <w:t xml:space="preserve"> </w:t>
      </w:r>
      <w:r w:rsidR="00FC511C">
        <w:t xml:space="preserve">(CMI) </w:t>
      </w:r>
      <w:r w:rsidR="00277AD5" w:rsidRPr="005206CA">
        <w:t>submission on this review</w:t>
      </w:r>
      <w:r w:rsidRPr="005206CA">
        <w:t>,</w:t>
      </w:r>
      <w:r w:rsidR="00277AD5" w:rsidRPr="005206CA">
        <w:t xml:space="preserve"> </w:t>
      </w:r>
      <w:r w:rsidRPr="005206CA">
        <w:t>South Australian Department of Environment, Water and Natural Resources</w:t>
      </w:r>
      <w:r w:rsidR="00277AD5" w:rsidRPr="005206CA">
        <w:t xml:space="preserve"> submission on </w:t>
      </w:r>
      <w:r w:rsidR="002874CD" w:rsidRPr="005206CA">
        <w:t xml:space="preserve">the </w:t>
      </w:r>
      <w:r w:rsidR="00277AD5" w:rsidRPr="005206CA">
        <w:t>2017 review</w:t>
      </w:r>
      <w:r w:rsidR="00243683">
        <w:t>;</w:t>
      </w:r>
      <w:r w:rsidR="00243683" w:rsidRPr="005206CA">
        <w:t xml:space="preserve"> </w:t>
      </w:r>
      <w:r w:rsidR="00E974D6">
        <w:rPr>
          <w:rStyle w:val="In-textChar"/>
        </w:rPr>
        <w:t>EHP</w:t>
      </w:r>
      <w:r w:rsidR="00277AD5" w:rsidRPr="00993E05">
        <w:rPr>
          <w:rStyle w:val="In-textChar"/>
        </w:rPr>
        <w:t xml:space="preserve"> 2017</w:t>
      </w:r>
      <w:r w:rsidRPr="005206CA">
        <w:t xml:space="preserve">). The Authority found in its </w:t>
      </w:r>
      <w:r w:rsidRPr="005206CA">
        <w:rPr>
          <w:i/>
        </w:rPr>
        <w:t>2016 Special Review</w:t>
      </w:r>
      <w:r w:rsidRPr="005206CA">
        <w:t xml:space="preserve"> that </w:t>
      </w:r>
      <w:r w:rsidR="00AC20A6" w:rsidRPr="005206CA">
        <w:t>research and development</w:t>
      </w:r>
      <w:r w:rsidRPr="005206CA">
        <w:t xml:space="preserve"> on abatement opportunities for the land sector is a priority area and should be part of a policy tool kit to help Australia meet its Paris Agreement target</w:t>
      </w:r>
      <w:r w:rsidRPr="005206CA" w:rsidDel="006517B3">
        <w:t>s</w:t>
      </w:r>
      <w:r w:rsidRPr="005206CA">
        <w:t>. In</w:t>
      </w:r>
      <w:r w:rsidRPr="005206CA" w:rsidDel="00AA6BB0">
        <w:t xml:space="preserve"> </w:t>
      </w:r>
      <w:r w:rsidR="00AA6BB0" w:rsidRPr="005206CA">
        <w:rPr>
          <w:rStyle w:val="SectionChapterChar"/>
        </w:rPr>
        <w:fldChar w:fldCharType="begin"/>
      </w:r>
      <w:r w:rsidR="00AA6BB0" w:rsidRPr="005206CA">
        <w:rPr>
          <w:rStyle w:val="SectionChapterChar"/>
        </w:rPr>
        <w:instrText xml:space="preserve"> REF _Ref500244815 \r \h </w:instrText>
      </w:r>
      <w:r w:rsidR="005206CA">
        <w:rPr>
          <w:rStyle w:val="SectionChapterChar"/>
        </w:rPr>
        <w:instrText xml:space="preserve"> \* MERGEFORMAT </w:instrText>
      </w:r>
      <w:r w:rsidR="00AA6BB0" w:rsidRPr="005206CA">
        <w:rPr>
          <w:rStyle w:val="SectionChapterChar"/>
        </w:rPr>
      </w:r>
      <w:r w:rsidR="00AA6BB0" w:rsidRPr="005206CA">
        <w:rPr>
          <w:rStyle w:val="SectionChapterChar"/>
        </w:rPr>
        <w:fldChar w:fldCharType="separate"/>
      </w:r>
      <w:r w:rsidR="00FA2002">
        <w:rPr>
          <w:rStyle w:val="SectionChapterChar"/>
        </w:rPr>
        <w:t>Chapter 14</w:t>
      </w:r>
      <w:r w:rsidR="00AA6BB0" w:rsidRPr="005206CA">
        <w:rPr>
          <w:rStyle w:val="SectionChapterChar"/>
        </w:rPr>
        <w:fldChar w:fldCharType="end"/>
      </w:r>
      <w:r w:rsidR="00D159E8" w:rsidRPr="005206CA">
        <w:rPr>
          <w:rStyle w:val="SectionChapterChar"/>
        </w:rPr>
        <w:t>,</w:t>
      </w:r>
      <w:r w:rsidRPr="00AC7279">
        <w:rPr>
          <w:rStyle w:val="SectionChapterChar"/>
        </w:rPr>
        <w:t xml:space="preserve"> </w:t>
      </w:r>
      <w:r w:rsidRPr="005206CA">
        <w:t xml:space="preserve">the Authority recommends </w:t>
      </w:r>
      <w:r w:rsidRPr="005206CA">
        <w:rPr>
          <w:lang w:eastAsia="en-AU"/>
        </w:rPr>
        <w:t xml:space="preserve">additional funding to </w:t>
      </w:r>
      <w:r w:rsidR="00F37384" w:rsidRPr="005206CA">
        <w:rPr>
          <w:lang w:eastAsia="en-AU"/>
        </w:rPr>
        <w:t>the Department</w:t>
      </w:r>
      <w:r w:rsidRPr="005206CA">
        <w:rPr>
          <w:lang w:eastAsia="en-AU"/>
        </w:rPr>
        <w:t xml:space="preserve"> to work with research organisations and stakeholders </w:t>
      </w:r>
      <w:r w:rsidR="00010AE7" w:rsidRPr="005206CA">
        <w:rPr>
          <w:lang w:eastAsia="en-AU"/>
        </w:rPr>
        <w:t xml:space="preserve">to develop </w:t>
      </w:r>
      <w:r w:rsidRPr="005206CA">
        <w:rPr>
          <w:lang w:eastAsia="en-AU"/>
        </w:rPr>
        <w:t>new methods</w:t>
      </w:r>
      <w:r w:rsidR="00010AE7" w:rsidRPr="005206CA">
        <w:rPr>
          <w:lang w:eastAsia="en-AU"/>
        </w:rPr>
        <w:t xml:space="preserve"> for the land sector</w:t>
      </w:r>
      <w:r w:rsidRPr="005206CA">
        <w:rPr>
          <w:lang w:eastAsia="en-AU"/>
        </w:rPr>
        <w:t>.</w:t>
      </w:r>
    </w:p>
    <w:p w14:paraId="6866663F" w14:textId="12612656" w:rsidR="00022E60" w:rsidRPr="005206CA" w:rsidRDefault="00022E60">
      <w:pPr>
        <w:pStyle w:val="Heading3"/>
      </w:pPr>
      <w:r w:rsidRPr="005206CA">
        <w:t xml:space="preserve">Regulation as an alternative to </w:t>
      </w:r>
      <w:r w:rsidR="00517703" w:rsidRPr="005206CA">
        <w:t xml:space="preserve">Emissions Reduction Fund </w:t>
      </w:r>
      <w:r w:rsidRPr="005206CA">
        <w:t>projects</w:t>
      </w:r>
    </w:p>
    <w:p w14:paraId="3B6D76EC" w14:textId="053A6A16" w:rsidR="00022E60" w:rsidRPr="005206CA" w:rsidRDefault="00022E60" w:rsidP="00022E60">
      <w:r w:rsidRPr="005206CA">
        <w:t>As part of its consultation on this review, the Authority sought stakeholder views on whether abatement from some ERF methods and projects could be delivered more efficiently through regulation. The Wilderness Society submitted that emissions reductions from ERF vegetation projects w</w:t>
      </w:r>
      <w:r w:rsidR="00D159E8" w:rsidRPr="005206CA">
        <w:t>ere</w:t>
      </w:r>
      <w:r w:rsidRPr="005206CA">
        <w:t xml:space="preserve"> being eroded by the weakening of land clearing laws in Queensland and NSW and said that strong regulations on deforestation and land clearing </w:t>
      </w:r>
      <w:r w:rsidR="004D0138" w:rsidRPr="005206CA">
        <w:t xml:space="preserve">are </w:t>
      </w:r>
      <w:r w:rsidRPr="005206CA">
        <w:t>needed.</w:t>
      </w:r>
    </w:p>
    <w:p w14:paraId="7178151F" w14:textId="29ECC9CF" w:rsidR="00022E60" w:rsidRPr="005206CA" w:rsidRDefault="00022E60" w:rsidP="00022E60">
      <w:r w:rsidRPr="005206CA">
        <w:t>The most recently available national inventory from 2014-15 suggests however that national emissions from land clearing continued to fall, contributing net emissions of 33.7 million tonnes that year, down from 41.6 million in 2013-14 and 86.1 million a decade earlier</w:t>
      </w:r>
      <w:r w:rsidR="008B43EA" w:rsidRPr="005206CA">
        <w:t xml:space="preserve"> (</w:t>
      </w:r>
      <w:r w:rsidR="008B43EA" w:rsidRPr="005206CA">
        <w:rPr>
          <w:rStyle w:val="In-textChar"/>
        </w:rPr>
        <w:t>DoEE 2017</w:t>
      </w:r>
      <w:r w:rsidR="00E14E3C" w:rsidRPr="005206CA">
        <w:rPr>
          <w:rStyle w:val="In-textChar"/>
        </w:rPr>
        <w:t>g</w:t>
      </w:r>
      <w:r w:rsidR="008B43EA" w:rsidRPr="005206CA">
        <w:t>)</w:t>
      </w:r>
      <w:r w:rsidRPr="005206CA">
        <w:t xml:space="preserve">. The Authority considers that provided avoided deforestation projects meet the ERF’s </w:t>
      </w:r>
      <w:r w:rsidR="007D2CB6">
        <w:t>offsets</w:t>
      </w:r>
      <w:r w:rsidRPr="005206CA">
        <w:t xml:space="preserve"> integrity standards, they can make an effective contribution to reducing land clearing emissions. </w:t>
      </w:r>
      <w:r w:rsidR="008C625A">
        <w:rPr>
          <w:rStyle w:val="SectionChapterChar"/>
        </w:rPr>
        <w:t>Section 4.4</w:t>
      </w:r>
      <w:r w:rsidR="000F56EB">
        <w:rPr>
          <w:rStyle w:val="SectionChapterChar"/>
        </w:rPr>
        <w:t xml:space="preserve"> </w:t>
      </w:r>
      <w:r w:rsidRPr="005206CA">
        <w:t>contains analysis on the additionality of avoided deforestation projects.</w:t>
      </w:r>
    </w:p>
    <w:p w14:paraId="26CF3ADA" w14:textId="7C06C218" w:rsidR="00022E60" w:rsidRPr="005206CA" w:rsidRDefault="00022E60">
      <w:pPr>
        <w:pStyle w:val="Heading2"/>
      </w:pPr>
      <w:bookmarkStart w:id="325" w:name="_Toc500512889"/>
      <w:bookmarkStart w:id="326" w:name="_Toc500516201"/>
      <w:r w:rsidRPr="005206CA" w:rsidDel="005F7AEC">
        <w:t xml:space="preserve">Offsets Integrity </w:t>
      </w:r>
      <w:bookmarkStart w:id="327" w:name="_Toc500514144"/>
      <w:r w:rsidR="005F7AEC">
        <w:t>Standards</w:t>
      </w:r>
      <w:bookmarkEnd w:id="325"/>
      <w:bookmarkEnd w:id="327"/>
      <w:bookmarkEnd w:id="326"/>
    </w:p>
    <w:p w14:paraId="771188F2" w14:textId="20FA4B97" w:rsidR="00022E60" w:rsidRPr="005206CA" w:rsidRDefault="00022E60" w:rsidP="00022E60">
      <w:r w:rsidRPr="005206CA">
        <w:t xml:space="preserve">The offsets integrity standards are set out in legislation and designed to ensure that </w:t>
      </w:r>
      <w:r w:rsidR="002B73FA" w:rsidRPr="005206CA">
        <w:t>ACCUs</w:t>
      </w:r>
      <w:r w:rsidRPr="005206CA">
        <w:t xml:space="preserve"> issued under the ERF are for genuine emissions reductions that are additional to business as usual.</w:t>
      </w:r>
    </w:p>
    <w:p w14:paraId="76BF9E40" w14:textId="77777777" w:rsidR="00022E60" w:rsidRPr="005206CA" w:rsidRDefault="00022E60" w:rsidP="00022E60">
      <w:r w:rsidRPr="005206CA">
        <w:t>Under the standards, the emissions reductions are to be:</w:t>
      </w:r>
    </w:p>
    <w:p w14:paraId="302704A6" w14:textId="77777777" w:rsidR="00022E60" w:rsidRPr="005206CA" w:rsidRDefault="00022E60" w:rsidP="00022E60">
      <w:pPr>
        <w:pStyle w:val="ListBullet"/>
        <w:spacing w:after="140" w:line="320" w:lineRule="exact"/>
        <w:ind w:left="369" w:hanging="369"/>
      </w:pPr>
      <w:r w:rsidRPr="005206CA">
        <w:t>additional – unlikely to occur in the absence of the ERF</w:t>
      </w:r>
    </w:p>
    <w:p w14:paraId="63EA1078" w14:textId="4554E4E5" w:rsidR="00022E60" w:rsidRPr="005206CA" w:rsidRDefault="00022E60" w:rsidP="00022E60">
      <w:pPr>
        <w:pStyle w:val="ListBullet"/>
        <w:spacing w:after="140" w:line="320" w:lineRule="exact"/>
        <w:ind w:left="369" w:hanging="369"/>
      </w:pPr>
      <w:r w:rsidRPr="005206CA">
        <w:t>genuine – measurable, capable of being verified and conservative</w:t>
      </w:r>
      <w:r w:rsidR="00A00E51" w:rsidRPr="005206CA">
        <w:t xml:space="preserve"> (i</w:t>
      </w:r>
      <w:r w:rsidR="00B4131D" w:rsidRPr="005206CA">
        <w:t>.</w:t>
      </w:r>
      <w:r w:rsidR="00A00E51" w:rsidRPr="005206CA">
        <w:t>e</w:t>
      </w:r>
      <w:r w:rsidR="00B4131D" w:rsidRPr="005206CA">
        <w:t>.</w:t>
      </w:r>
      <w:r w:rsidR="00A00E51" w:rsidRPr="005206CA">
        <w:t xml:space="preserve"> does not over-estimate emissions reductions)</w:t>
      </w:r>
    </w:p>
    <w:p w14:paraId="2586C654" w14:textId="77777777" w:rsidR="00022E60" w:rsidRPr="005206CA" w:rsidRDefault="00022E60" w:rsidP="00022E60">
      <w:pPr>
        <w:pStyle w:val="ListBullet"/>
        <w:spacing w:after="140" w:line="320" w:lineRule="exact"/>
        <w:ind w:left="369" w:hanging="369"/>
      </w:pPr>
      <w:r w:rsidRPr="005206CA">
        <w:t>able to count towards meeting Australia’s international emissions reduction targets</w:t>
      </w:r>
    </w:p>
    <w:p w14:paraId="3E734C39" w14:textId="77777777" w:rsidR="00022E60" w:rsidRPr="005206CA" w:rsidRDefault="00022E60" w:rsidP="00022E60">
      <w:pPr>
        <w:pStyle w:val="ListBullet"/>
        <w:spacing w:after="140" w:line="320" w:lineRule="exact"/>
        <w:ind w:left="369" w:hanging="369"/>
      </w:pPr>
      <w:r w:rsidRPr="005206CA">
        <w:t>able to account for leakage (so that any material increase in emissions as a result of the project are accounted for)</w:t>
      </w:r>
    </w:p>
    <w:p w14:paraId="683FFA06" w14:textId="77777777" w:rsidR="00022E60" w:rsidRPr="005206CA" w:rsidRDefault="00022E60" w:rsidP="00022E60">
      <w:pPr>
        <w:pStyle w:val="ListBullet"/>
        <w:spacing w:after="140" w:line="320" w:lineRule="exact"/>
        <w:ind w:left="369" w:hanging="369"/>
      </w:pPr>
      <w:r w:rsidRPr="005206CA">
        <w:t>supported by clear and convincing evidence.</w:t>
      </w:r>
    </w:p>
    <w:p w14:paraId="7967B7C8" w14:textId="3AF4121B" w:rsidR="00022E60" w:rsidRPr="005206CA" w:rsidRDefault="00022E60" w:rsidP="00022E60">
      <w:r w:rsidRPr="005206CA" w:rsidDel="00993714">
        <w:t>Additionality</w:t>
      </w:r>
      <w:r w:rsidRPr="005206CA">
        <w:t xml:space="preserve"> concerns</w:t>
      </w:r>
      <w:r w:rsidRPr="005206CA" w:rsidDel="00993714">
        <w:t xml:space="preserve"> in the </w:t>
      </w:r>
      <w:r w:rsidRPr="005206CA">
        <w:t>native forest from managed regrowth</w:t>
      </w:r>
      <w:r w:rsidRPr="005206CA" w:rsidDel="00993714">
        <w:t xml:space="preserve"> </w:t>
      </w:r>
      <w:r w:rsidRPr="005206CA">
        <w:t xml:space="preserve">and landfill waste </w:t>
      </w:r>
      <w:r w:rsidRPr="005206CA" w:rsidDel="00993714">
        <w:t xml:space="preserve">methods </w:t>
      </w:r>
      <w:r w:rsidRPr="005206CA">
        <w:t>are</w:t>
      </w:r>
      <w:r w:rsidRPr="005206CA" w:rsidDel="00993714">
        <w:t xml:space="preserve"> discussed in </w:t>
      </w:r>
      <w:r w:rsidR="001816FC" w:rsidRPr="00AC7279">
        <w:rPr>
          <w:rStyle w:val="SectionChapterChar"/>
        </w:rPr>
        <w:t>Section</w:t>
      </w:r>
      <w:r w:rsidR="00DE0505" w:rsidRPr="00AC7279">
        <w:rPr>
          <w:rStyle w:val="SectionChapterChar"/>
        </w:rPr>
        <w:t xml:space="preserve"> </w:t>
      </w:r>
      <w:r w:rsidR="00AA6BB0" w:rsidRPr="005206CA">
        <w:rPr>
          <w:rStyle w:val="SectionChapterChar"/>
        </w:rPr>
        <w:fldChar w:fldCharType="begin"/>
      </w:r>
      <w:r w:rsidR="00AA6BB0" w:rsidRPr="005206CA">
        <w:rPr>
          <w:rStyle w:val="SectionChapterChar"/>
        </w:rPr>
        <w:instrText xml:space="preserve"> REF _Ref500245015 \w \h  \* MERGEFORMAT </w:instrText>
      </w:r>
      <w:r w:rsidR="00AA6BB0" w:rsidRPr="005206CA">
        <w:rPr>
          <w:rStyle w:val="SectionChapterChar"/>
        </w:rPr>
      </w:r>
      <w:r w:rsidR="00AA6BB0" w:rsidRPr="005206CA">
        <w:rPr>
          <w:rStyle w:val="SectionChapterChar"/>
        </w:rPr>
        <w:fldChar w:fldCharType="separate"/>
      </w:r>
      <w:r w:rsidR="00FA2002">
        <w:rPr>
          <w:rStyle w:val="SectionChapterChar"/>
        </w:rPr>
        <w:t>4.4</w:t>
      </w:r>
      <w:r w:rsidR="00AA6BB0" w:rsidRPr="005206CA">
        <w:rPr>
          <w:rStyle w:val="SectionChapterChar"/>
        </w:rPr>
        <w:fldChar w:fldCharType="end"/>
      </w:r>
      <w:r w:rsidR="001816FC" w:rsidRPr="00AC7279">
        <w:rPr>
          <w:rStyle w:val="SectionChapterChar"/>
        </w:rPr>
        <w:t>.</w:t>
      </w:r>
      <w:r w:rsidRPr="005206CA" w:rsidDel="00993714">
        <w:t xml:space="preserve"> </w:t>
      </w:r>
      <w:r w:rsidR="004D0138" w:rsidRPr="005206CA">
        <w:t>Other c</w:t>
      </w:r>
      <w:r w:rsidRPr="005206CA">
        <w:t xml:space="preserve">oncerns about consistency with the offsets integrity standards have also been raised in relation to the human-induced regeneration and soil methods. These are discussed below. </w:t>
      </w:r>
    </w:p>
    <w:p w14:paraId="1B025A50" w14:textId="64543F13" w:rsidR="00022E60" w:rsidRPr="005206CA" w:rsidRDefault="00022E60">
      <w:pPr>
        <w:pStyle w:val="Heading3"/>
      </w:pPr>
      <w:r w:rsidRPr="005206CA">
        <w:t xml:space="preserve">Challenges with the </w:t>
      </w:r>
      <w:r w:rsidR="00517703" w:rsidRPr="005206CA">
        <w:t>human</w:t>
      </w:r>
      <w:r w:rsidRPr="005206CA">
        <w:t>-induced regeneration method of a permanent even-aged native forest</w:t>
      </w:r>
    </w:p>
    <w:p w14:paraId="444F5CD8" w14:textId="59C5F566" w:rsidR="00022E60" w:rsidRPr="005206CA" w:rsidRDefault="00022E60" w:rsidP="00022E60">
      <w:r w:rsidRPr="005206CA">
        <w:t>The human-induced regeneration of a permanent even-aged native forest method has the single greatest amount of uptake under the ERF, representing 43 per cent or 80.</w:t>
      </w:r>
      <w:r w:rsidR="00BE6F47" w:rsidRPr="005206CA">
        <w:t>5</w:t>
      </w:r>
      <w:r w:rsidRPr="005206CA">
        <w:t xml:space="preserve"> Mt CO</w:t>
      </w:r>
      <w:r w:rsidRPr="005206CA">
        <w:rPr>
          <w:vertAlign w:val="subscript"/>
        </w:rPr>
        <w:t>2</w:t>
      </w:r>
      <w:r w:rsidRPr="005206CA">
        <w:t>-e of total contracted abatement and around 30 per cent of all contracted projects</w:t>
      </w:r>
      <w:r w:rsidR="008C625A">
        <w:t xml:space="preserve"> (</w:t>
      </w:r>
      <w:r w:rsidR="008C625A" w:rsidRPr="00AC7279">
        <w:rPr>
          <w:rStyle w:val="In-textChar"/>
        </w:rPr>
        <w:t>CER 2017k</w:t>
      </w:r>
      <w:r w:rsidR="00243683" w:rsidRPr="00AC7279">
        <w:rPr>
          <w:rStyle w:val="In-textChar"/>
        </w:rPr>
        <w:t>; CER 2017</w:t>
      </w:r>
      <w:r w:rsidR="008C625A" w:rsidRPr="00AC7279">
        <w:rPr>
          <w:rStyle w:val="In-textChar"/>
        </w:rPr>
        <w:t>n</w:t>
      </w:r>
      <w:r w:rsidR="008C625A">
        <w:t>)</w:t>
      </w:r>
      <w:r w:rsidRPr="005206CA">
        <w:t xml:space="preserve">. </w:t>
      </w:r>
    </w:p>
    <w:p w14:paraId="33A9A3A2" w14:textId="77777777" w:rsidR="00022E60" w:rsidRPr="005206CA" w:rsidRDefault="00022E60" w:rsidP="00022E60">
      <w:r w:rsidRPr="005206CA">
        <w:t>Projects under this method earn ACCUs by changing land management practices to facilitate regeneration of a native forest on areas previously cleared or grazed. Landholders can assist regeneration through activities such as excluding livestock from the project area, managing the timing and extent of grazing, managing feral animals and non-native plants in the project area and stopping mechanical clearing. Projects under this method are concentrated in western New South Wales and south-west Queensland.</w:t>
      </w:r>
    </w:p>
    <w:p w14:paraId="0DF75D8A" w14:textId="1E2FE92A" w:rsidR="00022E60" w:rsidRPr="005206CA" w:rsidRDefault="00022E60" w:rsidP="00022E60">
      <w:r w:rsidRPr="005206CA">
        <w:t xml:space="preserve">Under this method, the </w:t>
      </w:r>
      <w:r w:rsidR="00E7729F" w:rsidRPr="005206CA">
        <w:t>volume</w:t>
      </w:r>
      <w:r w:rsidRPr="005206CA">
        <w:t xml:space="preserve"> of ACCUs earnt is calculated from modelling using the Full Carbon Accounting Model. This means that </w:t>
      </w:r>
      <w:r w:rsidR="009D5426">
        <w:t xml:space="preserve">provided that certain </w:t>
      </w:r>
      <w:r w:rsidR="006D31D6" w:rsidRPr="005206CA">
        <w:t xml:space="preserve">conditions </w:t>
      </w:r>
      <w:r w:rsidR="009D5426">
        <w:t>(</w:t>
      </w:r>
      <w:r w:rsidR="006D31D6" w:rsidRPr="005206CA">
        <w:t xml:space="preserve">like having </w:t>
      </w:r>
      <w:r w:rsidR="009D5426">
        <w:t xml:space="preserve">the potential to generate a forest) </w:t>
      </w:r>
      <w:r w:rsidR="006D31D6" w:rsidRPr="005206CA">
        <w:t>are met and</w:t>
      </w:r>
      <w:r w:rsidRPr="005206CA">
        <w:t xml:space="preserve"> provided the project activity occurs, the model in effect credits the project using assumptions about vegetation growth and carbon stored on the project site. The Authority is aware of </w:t>
      </w:r>
      <w:r w:rsidR="008C0F31" w:rsidRPr="005206CA">
        <w:t>concerns that</w:t>
      </w:r>
      <w:r w:rsidRPr="005206CA">
        <w:t xml:space="preserve"> the vegetation on the ground </w:t>
      </w:r>
      <w:r w:rsidR="00464CF7" w:rsidRPr="005206CA">
        <w:t xml:space="preserve">may </w:t>
      </w:r>
      <w:r w:rsidRPr="005206CA">
        <w:t>not match assumptions in the model</w:t>
      </w:r>
      <w:r w:rsidR="00985A9B" w:rsidRPr="005206CA">
        <w:t xml:space="preserve"> </w:t>
      </w:r>
      <w:r w:rsidRPr="005206CA">
        <w:t xml:space="preserve">raising </w:t>
      </w:r>
      <w:r w:rsidR="008C0F31" w:rsidRPr="005206CA">
        <w:t xml:space="preserve">questions </w:t>
      </w:r>
      <w:r w:rsidRPr="005206CA">
        <w:t xml:space="preserve">as to whether the project abatement </w:t>
      </w:r>
      <w:r w:rsidR="00FB4207">
        <w:t xml:space="preserve">estimation </w:t>
      </w:r>
      <w:r w:rsidRPr="005206CA">
        <w:t xml:space="preserve">is conservative. Other projects under the method may </w:t>
      </w:r>
      <w:r w:rsidR="004D0138" w:rsidRPr="005206CA">
        <w:t xml:space="preserve">be </w:t>
      </w:r>
      <w:r w:rsidRPr="005206CA">
        <w:t>over-deliver</w:t>
      </w:r>
      <w:r w:rsidR="004D0138" w:rsidRPr="005206CA">
        <w:t>ing</w:t>
      </w:r>
      <w:r w:rsidRPr="005206CA">
        <w:t xml:space="preserve"> on abatement. </w:t>
      </w:r>
    </w:p>
    <w:p w14:paraId="65CC28E2" w14:textId="798AB7A6" w:rsidR="00022E60" w:rsidRPr="005206CA" w:rsidRDefault="00022E60" w:rsidP="00022E60">
      <w:r w:rsidRPr="005206CA">
        <w:t xml:space="preserve">Across the range of human-induced regeneration projects, it is possible that these overs and unders are balancing out and it is a feature of modelled methods that the Government bears the risk of a discrepancy between what an individual project delivers and what the inventory credits towards Australia’s national targets. </w:t>
      </w:r>
    </w:p>
    <w:p w14:paraId="101714E5" w14:textId="78218024" w:rsidR="00464CF7" w:rsidRPr="005206CA" w:rsidRDefault="00E8562F" w:rsidP="00464CF7">
      <w:r w:rsidRPr="005206CA">
        <w:t xml:space="preserve">The </w:t>
      </w:r>
      <w:r w:rsidR="004D0138" w:rsidRPr="005206CA">
        <w:t xml:space="preserve">Authority </w:t>
      </w:r>
      <w:r w:rsidRPr="005206CA">
        <w:t xml:space="preserve">is aware of other concerns that some scheme participants may not have changed their land management practices so that the project can re-establish forest cover as required by the method. The Authority notes that the CER has recently issued </w:t>
      </w:r>
      <w:r w:rsidR="000C12EB" w:rsidRPr="005206CA">
        <w:t xml:space="preserve">draft </w:t>
      </w:r>
      <w:r w:rsidRPr="005206CA">
        <w:t xml:space="preserve">guidance to clarify the method’s requirements, which </w:t>
      </w:r>
      <w:r w:rsidR="00464CF7" w:rsidRPr="005206CA">
        <w:t>is intended to operate</w:t>
      </w:r>
      <w:r w:rsidRPr="005206CA">
        <w:t xml:space="preserve"> </w:t>
      </w:r>
      <w:r w:rsidR="00844906" w:rsidRPr="005206CA">
        <w:t xml:space="preserve">immediately </w:t>
      </w:r>
      <w:r w:rsidRPr="005206CA">
        <w:t>to address</w:t>
      </w:r>
      <w:r w:rsidR="00844906" w:rsidRPr="005206CA">
        <w:t xml:space="preserve"> potential</w:t>
      </w:r>
      <w:r w:rsidRPr="005206CA">
        <w:t xml:space="preserve"> anomalies in crediting</w:t>
      </w:r>
      <w:r w:rsidR="007054BC" w:rsidRPr="005206CA">
        <w:t xml:space="preserve"> (</w:t>
      </w:r>
      <w:r w:rsidR="007054BC" w:rsidRPr="005206CA">
        <w:rPr>
          <w:rStyle w:val="In-textChar"/>
        </w:rPr>
        <w:t>CER 2017m</w:t>
      </w:r>
      <w:r w:rsidR="007054BC" w:rsidRPr="005206CA">
        <w:t>)</w:t>
      </w:r>
      <w:r w:rsidRPr="005206CA">
        <w:t>.</w:t>
      </w:r>
      <w:r w:rsidR="00464CF7" w:rsidRPr="005206CA">
        <w:t xml:space="preserve"> The Authority recommends that the Emissions Reduction Assurance Committee (ERAC) assess whether the CER’s guidance will address </w:t>
      </w:r>
      <w:r w:rsidR="006C6ECC" w:rsidRPr="005206CA">
        <w:t xml:space="preserve">all of </w:t>
      </w:r>
      <w:r w:rsidR="00464CF7" w:rsidRPr="005206CA">
        <w:t xml:space="preserve">these concerns as part of its review of the </w:t>
      </w:r>
      <w:r w:rsidR="00464CF7" w:rsidRPr="00F15671">
        <w:t xml:space="preserve">method </w:t>
      </w:r>
      <w:r w:rsidR="00464CF7" w:rsidRPr="00AC7279">
        <w:rPr>
          <w:rStyle w:val="SectionChapterChar"/>
        </w:rPr>
        <w:t>(</w:t>
      </w:r>
      <w:r w:rsidR="00742056">
        <w:rPr>
          <w:rStyle w:val="SectionChapterChar"/>
        </w:rPr>
        <w:t xml:space="preserve">Recommendation </w:t>
      </w:r>
      <w:r w:rsidR="00F15671">
        <w:rPr>
          <w:rStyle w:val="SectionChapterChar"/>
        </w:rPr>
        <w:t>5</w:t>
      </w:r>
      <w:r w:rsidR="00464CF7" w:rsidRPr="00F15671" w:rsidDel="008B11B3">
        <w:t>)</w:t>
      </w:r>
      <w:r w:rsidR="00464CF7" w:rsidRPr="00F15671">
        <w:t>.</w:t>
      </w:r>
    </w:p>
    <w:p w14:paraId="6735E58D" w14:textId="6B14857A" w:rsidR="007E0199" w:rsidRDefault="00022E60" w:rsidP="00AC7279">
      <w:pPr>
        <w:rPr>
          <w:caps/>
          <w:color w:val="159DCE"/>
        </w:rPr>
      </w:pPr>
      <w:r w:rsidRPr="005206CA">
        <w:t xml:space="preserve">The Authority is also aware that some stakeholders have concerns about the potential for adverse impacts from projects under this method where adequate weed control is not being undertaken. These are discussed in </w:t>
      </w:r>
      <w:r w:rsidR="008F20C3" w:rsidRPr="00AC7279">
        <w:rPr>
          <w:rStyle w:val="SectionChapterChar"/>
        </w:rPr>
        <w:t>Section</w:t>
      </w:r>
      <w:r w:rsidRPr="00AC7279">
        <w:rPr>
          <w:rStyle w:val="SectionChapterChar"/>
        </w:rPr>
        <w:t xml:space="preserve"> </w:t>
      </w:r>
      <w:r w:rsidR="00786066" w:rsidRPr="005206CA">
        <w:rPr>
          <w:rStyle w:val="SectionChapterChar"/>
        </w:rPr>
        <w:fldChar w:fldCharType="begin"/>
      </w:r>
      <w:r w:rsidR="00786066" w:rsidRPr="005206CA">
        <w:rPr>
          <w:rStyle w:val="SectionChapterChar"/>
        </w:rPr>
        <w:instrText xml:space="preserve"> REF _Ref500245611 \r \h </w:instrText>
      </w:r>
      <w:r w:rsidR="005206CA">
        <w:rPr>
          <w:rStyle w:val="SectionChapterChar"/>
        </w:rPr>
        <w:instrText xml:space="preserve"> \* MERGEFORMAT </w:instrText>
      </w:r>
      <w:r w:rsidR="00786066" w:rsidRPr="005206CA">
        <w:rPr>
          <w:rStyle w:val="SectionChapterChar"/>
        </w:rPr>
      </w:r>
      <w:r w:rsidR="00786066" w:rsidRPr="005206CA">
        <w:rPr>
          <w:rStyle w:val="SectionChapterChar"/>
        </w:rPr>
        <w:fldChar w:fldCharType="separate"/>
      </w:r>
      <w:r w:rsidR="00FA2002">
        <w:rPr>
          <w:rStyle w:val="SectionChapterChar"/>
        </w:rPr>
        <w:t>9.2.2</w:t>
      </w:r>
      <w:r w:rsidR="00786066" w:rsidRPr="005206CA">
        <w:rPr>
          <w:rStyle w:val="SectionChapterChar"/>
        </w:rPr>
        <w:fldChar w:fldCharType="end"/>
      </w:r>
      <w:r w:rsidR="008F20C3" w:rsidRPr="00AC7279">
        <w:rPr>
          <w:rStyle w:val="SectionChapterChar"/>
        </w:rPr>
        <w:t>.</w:t>
      </w:r>
    </w:p>
    <w:p w14:paraId="772CBBFB" w14:textId="0B30B900" w:rsidR="00022E60" w:rsidRPr="005206CA" w:rsidRDefault="00022E60">
      <w:pPr>
        <w:pStyle w:val="Heading3"/>
      </w:pPr>
      <w:r w:rsidRPr="005206CA">
        <w:t xml:space="preserve">Challenges with soil carbon </w:t>
      </w:r>
    </w:p>
    <w:p w14:paraId="0A3482A6" w14:textId="6D005566" w:rsidR="00022E60" w:rsidRPr="005206CA" w:rsidRDefault="00022E60" w:rsidP="00022E60">
      <w:r w:rsidRPr="005206CA">
        <w:t xml:space="preserve">The Authority is aware of some concerns about the measured soil carbon method, in particular whether the science relating to soil carbon sequestration on farm land is sufficiently well advanced to distinguish between the impact of management action (say </w:t>
      </w:r>
      <w:r w:rsidR="0050526E" w:rsidRPr="005206CA">
        <w:t xml:space="preserve">changing </w:t>
      </w:r>
      <w:r w:rsidRPr="005206CA">
        <w:t>stock</w:t>
      </w:r>
      <w:r w:rsidR="0050526E" w:rsidRPr="005206CA">
        <w:t xml:space="preserve">ing </w:t>
      </w:r>
      <w:r w:rsidR="00411955" w:rsidRPr="005206CA">
        <w:t xml:space="preserve">rates </w:t>
      </w:r>
      <w:r w:rsidRPr="005206CA">
        <w:t xml:space="preserve">or changing from cropping to pasture) from the impact of climate variability like rainfall. </w:t>
      </w:r>
    </w:p>
    <w:p w14:paraId="1B84D487" w14:textId="0D8A064B" w:rsidR="00022E60" w:rsidRPr="005206CA" w:rsidRDefault="00E8562F" w:rsidP="00022E60">
      <w:r w:rsidRPr="005206CA">
        <w:t xml:space="preserve">Some </w:t>
      </w:r>
      <w:r w:rsidR="00022E60" w:rsidRPr="005206CA">
        <w:t>published science indicates that the ability of soils to sequester carbon is far more influenced by factors like rainfall, soil type and the t</w:t>
      </w:r>
      <w:r w:rsidR="00E2628A" w:rsidRPr="005206CA">
        <w:t>o</w:t>
      </w:r>
      <w:r w:rsidR="00022E60" w:rsidRPr="005206CA">
        <w:t>pography of the land than the management action taking place on the land</w:t>
      </w:r>
      <w:r w:rsidR="00E2628A" w:rsidRPr="005206CA">
        <w:t xml:space="preserve"> (</w:t>
      </w:r>
      <w:r w:rsidR="00FF19D4" w:rsidRPr="005206CA">
        <w:rPr>
          <w:rStyle w:val="In-textChar"/>
        </w:rPr>
        <w:t>Rabbi et al. 2015</w:t>
      </w:r>
      <w:r w:rsidR="00CD2C47">
        <w:rPr>
          <w:rStyle w:val="In-textChar"/>
        </w:rPr>
        <w:t>;</w:t>
      </w:r>
      <w:r w:rsidR="00CD2C47" w:rsidRPr="005206CA">
        <w:rPr>
          <w:rStyle w:val="In-textChar"/>
        </w:rPr>
        <w:t xml:space="preserve"> </w:t>
      </w:r>
      <w:r w:rsidR="006669CA" w:rsidRPr="005206CA">
        <w:rPr>
          <w:rStyle w:val="In-textChar"/>
        </w:rPr>
        <w:t>Allen et al. 2013</w:t>
      </w:r>
      <w:r w:rsidR="00E2628A" w:rsidRPr="005206CA">
        <w:t>)</w:t>
      </w:r>
      <w:r w:rsidR="00022E60" w:rsidRPr="005206CA">
        <w:t>. A question then arises as to whether the soil sequestration method is able to screen out sufficiently the impact of climate and other natural variability when crediting abatement. If for example, a landholder timed the start of a soil carbon project to begin at the end of a drought, then he or she could receive credit for soil carbon that is actually the result of increased rainfall rather than a changed management practice.</w:t>
      </w:r>
    </w:p>
    <w:p w14:paraId="51D9F7B0" w14:textId="03640414" w:rsidR="00022E60" w:rsidRPr="005206CA" w:rsidRDefault="00022E60" w:rsidP="00022E60">
      <w:r w:rsidRPr="005206CA">
        <w:t>The science on this point is inconclusive. There are studies showing that management activit</w:t>
      </w:r>
      <w:r w:rsidR="006200AD" w:rsidRPr="005206CA">
        <w:t>ies</w:t>
      </w:r>
      <w:r w:rsidRPr="005206CA">
        <w:t xml:space="preserve"> such as converting land under crops to pasture can build soil carbon levels </w:t>
      </w:r>
      <w:r w:rsidR="00336CC7" w:rsidRPr="005206CA">
        <w:t>(</w:t>
      </w:r>
      <w:r w:rsidR="007F3664" w:rsidRPr="005206CA">
        <w:rPr>
          <w:rStyle w:val="In-textChar"/>
        </w:rPr>
        <w:t>Rabbi et al. 2014; Badgery et al. 2014</w:t>
      </w:r>
      <w:r w:rsidR="00336CC7" w:rsidRPr="005206CA">
        <w:t>)</w:t>
      </w:r>
      <w:r w:rsidRPr="005206CA">
        <w:t>. There is however a dearth of longitudinal studies to show what the impact of sustained management actions could be on soil carbon on a given area of land over time.</w:t>
      </w:r>
    </w:p>
    <w:p w14:paraId="32000111" w14:textId="078E52B0" w:rsidR="00022E60" w:rsidRPr="005206CA" w:rsidRDefault="00022E60" w:rsidP="00022E60">
      <w:r w:rsidRPr="005206CA">
        <w:t xml:space="preserve">The soil carbon method </w:t>
      </w:r>
      <w:r w:rsidR="00955E90" w:rsidRPr="005206CA">
        <w:t xml:space="preserve">for grazing systems </w:t>
      </w:r>
      <w:r w:rsidRPr="005206CA">
        <w:t xml:space="preserve">has a number of checks to prevent over-crediting. These include a discounting arrangement that restricts the volume of </w:t>
      </w:r>
      <w:r w:rsidR="002B73FA" w:rsidRPr="005206CA">
        <w:t>ACCUs</w:t>
      </w:r>
      <w:r w:rsidRPr="005206CA">
        <w:t xml:space="preserve"> that landholders receive in the early years of the crediting period before a trend of abatement (following </w:t>
      </w:r>
      <w:r w:rsidR="00632D55" w:rsidRPr="005206CA">
        <w:t>c</w:t>
      </w:r>
      <w:r w:rsidRPr="005206CA">
        <w:t xml:space="preserve">hanged land management) can be established. The method contains other rules that stipulate </w:t>
      </w:r>
      <w:r w:rsidR="00955E90" w:rsidRPr="005206CA">
        <w:t xml:space="preserve">how soil sampling must occur to </w:t>
      </w:r>
      <w:r w:rsidRPr="005206CA">
        <w:t>avoid cherry picking and the minimum number of soil samples that must be taken.</w:t>
      </w:r>
    </w:p>
    <w:p w14:paraId="4535B2C1" w14:textId="41FAF988" w:rsidR="00022E60" w:rsidRPr="005206CA" w:rsidRDefault="00022E60" w:rsidP="00022E60">
      <w:r w:rsidRPr="005206CA">
        <w:t xml:space="preserve">The Authority notes that the direct measurement soil method </w:t>
      </w:r>
      <w:r w:rsidR="003013C5" w:rsidRPr="005206CA">
        <w:t xml:space="preserve">for grazing systems </w:t>
      </w:r>
      <w:r w:rsidRPr="005206CA">
        <w:t xml:space="preserve">is </w:t>
      </w:r>
      <w:r w:rsidR="00955E90" w:rsidRPr="005206CA">
        <w:t xml:space="preserve">likely </w:t>
      </w:r>
      <w:r w:rsidRPr="005206CA">
        <w:t xml:space="preserve">to be superseded by a new method that allows soil carbon projects to take place on land that is subject to a wider range of farming practices and introduces new, more cost effective soil sampling and estimation techniques. This method has been recently released by </w:t>
      </w:r>
      <w:r w:rsidR="00414F24" w:rsidRPr="005206CA">
        <w:t>the Department</w:t>
      </w:r>
      <w:r w:rsidR="001A3D97" w:rsidRPr="005206CA">
        <w:t xml:space="preserve"> of the Environment and Energy </w:t>
      </w:r>
      <w:r w:rsidRPr="005206CA">
        <w:t>for public consultation</w:t>
      </w:r>
      <w:r w:rsidR="00877728" w:rsidRPr="005206CA">
        <w:t xml:space="preserve"> (</w:t>
      </w:r>
      <w:r w:rsidR="00877728" w:rsidRPr="00AC7279">
        <w:rPr>
          <w:rStyle w:val="In-textChar"/>
        </w:rPr>
        <w:t>DoEE 2017</w:t>
      </w:r>
      <w:r w:rsidR="00E14E3C" w:rsidRPr="005206CA">
        <w:rPr>
          <w:rStyle w:val="In-textChar"/>
        </w:rPr>
        <w:t>d</w:t>
      </w:r>
      <w:r w:rsidR="00877728" w:rsidRPr="005206CA">
        <w:t>)</w:t>
      </w:r>
      <w:r w:rsidRPr="005206CA">
        <w:t>. The Authority encourages the ERAC to examine closely the scientific basis for the revised soil method to ensure that it meets the offsets integrity standards</w:t>
      </w:r>
      <w:r w:rsidR="00AE3B53" w:rsidRPr="005206CA">
        <w:t xml:space="preserve"> </w:t>
      </w:r>
      <w:r w:rsidR="00C11857" w:rsidRPr="005206CA">
        <w:t>(</w:t>
      </w:r>
      <w:hyperlink w:anchor="Recommendation5" w:history="1">
        <w:r w:rsidR="00786066">
          <w:rPr>
            <w:rStyle w:val="SectionChapterChar"/>
          </w:rPr>
          <w:t xml:space="preserve">Recommendation </w:t>
        </w:r>
        <w:r w:rsidR="00786066" w:rsidDel="00742056">
          <w:rPr>
            <w:rStyle w:val="SectionChapterChar"/>
          </w:rPr>
          <w:t>5</w:t>
        </w:r>
      </w:hyperlink>
      <w:r w:rsidR="00AE3B53" w:rsidRPr="005206CA">
        <w:t>)</w:t>
      </w:r>
      <w:r w:rsidRPr="005206CA">
        <w:t>.</w:t>
      </w:r>
    </w:p>
    <w:p w14:paraId="7850DCBD" w14:textId="09131E3F" w:rsidR="00022E60" w:rsidRPr="005206CA" w:rsidRDefault="00AF7B7F">
      <w:pPr>
        <w:pStyle w:val="Heading2"/>
      </w:pPr>
      <w:bookmarkStart w:id="328" w:name="_Toc494905111"/>
      <w:bookmarkStart w:id="329" w:name="_Toc497819461"/>
      <w:bookmarkStart w:id="330" w:name="_Toc498691527"/>
      <w:r w:rsidRPr="005206CA">
        <w:tab/>
      </w:r>
      <w:bookmarkStart w:id="331" w:name="_Toc499043709"/>
      <w:bookmarkStart w:id="332" w:name="_Toc499051734"/>
      <w:bookmarkStart w:id="333" w:name="_Toc500251084"/>
      <w:bookmarkStart w:id="334" w:name="_Toc500251359"/>
      <w:bookmarkStart w:id="335" w:name="_Toc500253956"/>
      <w:bookmarkStart w:id="336" w:name="_Toc500401463"/>
      <w:bookmarkStart w:id="337" w:name="_Toc500490948"/>
      <w:bookmarkStart w:id="338" w:name="_Toc500512890"/>
      <w:bookmarkStart w:id="339" w:name="_Toc500514145"/>
      <w:bookmarkStart w:id="340" w:name="_Toc500516202"/>
      <w:r w:rsidR="00022E60" w:rsidRPr="005206CA">
        <w:t>Development of methods</w:t>
      </w:r>
      <w:bookmarkEnd w:id="328"/>
      <w:bookmarkEnd w:id="329"/>
      <w:bookmarkEnd w:id="330"/>
      <w:bookmarkEnd w:id="331"/>
      <w:bookmarkEnd w:id="332"/>
      <w:bookmarkEnd w:id="333"/>
      <w:bookmarkEnd w:id="334"/>
      <w:bookmarkEnd w:id="335"/>
      <w:bookmarkEnd w:id="336"/>
      <w:bookmarkEnd w:id="337"/>
      <w:bookmarkEnd w:id="338"/>
      <w:bookmarkEnd w:id="339"/>
      <w:bookmarkEnd w:id="340"/>
      <w:r w:rsidR="00022E60" w:rsidRPr="005206CA">
        <w:t xml:space="preserve"> </w:t>
      </w:r>
    </w:p>
    <w:p w14:paraId="51312EAD" w14:textId="4544240C" w:rsidR="00022E60" w:rsidRPr="005206CA" w:rsidRDefault="00022E60" w:rsidP="00022E60">
      <w:r w:rsidRPr="005206CA">
        <w:t xml:space="preserve">The </w:t>
      </w:r>
      <w:r w:rsidR="00F37384" w:rsidRPr="005206CA">
        <w:t>Department</w:t>
      </w:r>
      <w:r w:rsidRPr="005206CA">
        <w:t xml:space="preserve"> develops new methods for the ERF by working with technical experts and other stakeholders with knowledge of abatement opportunities in given sectors. </w:t>
      </w:r>
    </w:p>
    <w:p w14:paraId="66D891F7" w14:textId="7EC72B94" w:rsidR="00022E60" w:rsidRPr="005206CA" w:rsidRDefault="00022E60" w:rsidP="00022E60">
      <w:r w:rsidRPr="005206CA">
        <w:t xml:space="preserve">A number of stakeholders have suggested that they should be able to develop methods for the ERF, as was the case for the CFI, arguing that this would allow for the private sector to innovate to secure new abatement opportunities. For example, the </w:t>
      </w:r>
      <w:r w:rsidR="001A3D97" w:rsidRPr="005206CA">
        <w:t xml:space="preserve">CMI </w:t>
      </w:r>
      <w:r w:rsidR="007E5547" w:rsidRPr="005206CA">
        <w:t>submission on</w:t>
      </w:r>
      <w:r w:rsidRPr="005206CA">
        <w:t xml:space="preserve"> </w:t>
      </w:r>
      <w:r w:rsidR="00786066" w:rsidRPr="005206CA">
        <w:t>this</w:t>
      </w:r>
      <w:r w:rsidRPr="005206CA">
        <w:t xml:space="preserve"> </w:t>
      </w:r>
      <w:r w:rsidR="002874CD" w:rsidRPr="005206CA">
        <w:t>r</w:t>
      </w:r>
      <w:r w:rsidRPr="005206CA">
        <w:t xml:space="preserve">eview said: </w:t>
      </w:r>
    </w:p>
    <w:p w14:paraId="1D6498E2" w14:textId="39DFCA0C" w:rsidR="00022E60" w:rsidRPr="005206CA" w:rsidRDefault="00022E60" w:rsidP="00AC7279">
      <w:pPr>
        <w:ind w:left="284"/>
        <w:rPr>
          <w:i/>
        </w:rPr>
      </w:pPr>
      <w:r w:rsidRPr="005206CA">
        <w:rPr>
          <w:i/>
        </w:rPr>
        <w:t>Leveraging the private sector expertise in the development of methods is important for identifying the most efficient and effective means to generate abatement. Furthermore, industry-led method development will assist in prioritising methods most useful to industry and</w:t>
      </w:r>
      <w:r w:rsidR="00DE0505" w:rsidRPr="005206CA">
        <w:rPr>
          <w:i/>
        </w:rPr>
        <w:t xml:space="preserve"> therefore most widely adopted</w:t>
      </w:r>
      <w:r w:rsidR="001E749B" w:rsidRPr="005206CA">
        <w:rPr>
          <w:i/>
        </w:rPr>
        <w:t xml:space="preserve"> </w:t>
      </w:r>
      <w:r w:rsidR="001E749B" w:rsidRPr="005206CA">
        <w:t>(p. 1</w:t>
      </w:r>
      <w:r w:rsidR="00786066" w:rsidRPr="005206CA">
        <w:t>2</w:t>
      </w:r>
      <w:r w:rsidR="001E749B" w:rsidRPr="005206CA">
        <w:t>)</w:t>
      </w:r>
      <w:r w:rsidR="00DE0505" w:rsidRPr="005206CA">
        <w:t>.</w:t>
      </w:r>
    </w:p>
    <w:p w14:paraId="3749DC03" w14:textId="5956FCCF" w:rsidR="00022E60" w:rsidRPr="005206CA" w:rsidRDefault="00022E60" w:rsidP="00022E60">
      <w:r w:rsidRPr="005206CA">
        <w:t>In practice, when the CFI was operating, method development by private sector or other non</w:t>
      </w:r>
      <w:r w:rsidR="00D159E8" w:rsidRPr="005206CA">
        <w:noBreakHyphen/>
      </w:r>
      <w:r w:rsidRPr="005206CA">
        <w:t>government bodies created a significant resourcing burden for the Government, which needed to ensure the draft methods met the legislative requirements of the scheme (</w:t>
      </w:r>
      <w:r w:rsidRPr="005206CA">
        <w:rPr>
          <w:rStyle w:val="In-textChar"/>
        </w:rPr>
        <w:t>Australian Government 2014</w:t>
      </w:r>
      <w:r w:rsidRPr="005206CA">
        <w:t>). Early CFI methods were often informed by particular business models and covered only a small number of possible project activities.</w:t>
      </w:r>
    </w:p>
    <w:p w14:paraId="278A24A0" w14:textId="77777777" w:rsidR="00022E60" w:rsidRPr="005206CA" w:rsidRDefault="00022E60" w:rsidP="00022E60">
      <w:r w:rsidRPr="005206CA">
        <w:t>New methods for the ERF (including for previously uncovered sectors) sought to be broader in scope and simpler in form. This change aimed to ensure that method development achieved widely useable, activity-based methods that reduced scheme participation costs (</w:t>
      </w:r>
      <w:r w:rsidRPr="005206CA">
        <w:rPr>
          <w:rStyle w:val="In-textChar"/>
        </w:rPr>
        <w:t>Australian Government 2014</w:t>
      </w:r>
      <w:r w:rsidRPr="005206CA">
        <w:t xml:space="preserve">). </w:t>
      </w:r>
    </w:p>
    <w:p w14:paraId="79ABD72D" w14:textId="77777777" w:rsidR="00022E60" w:rsidRPr="005206CA" w:rsidRDefault="00022E60" w:rsidP="00022E60">
      <w:r w:rsidRPr="005206CA">
        <w:t>The Authority is not convinced that the problems with non-government method development (resource intensiveness for government, narrow scope of possible projects) under the CFI can be readily overcome for the ERF. The Authority is of the view that the current ERF approach, whereby the Department works with technical experts and other stakeholders to develop or vary methods, should continue.</w:t>
      </w:r>
    </w:p>
    <w:p w14:paraId="506ADD5F" w14:textId="77777777" w:rsidR="004D0138" w:rsidRPr="005206CA" w:rsidRDefault="00022E60" w:rsidP="00022E60">
      <w:r w:rsidRPr="005206CA">
        <w:t>The Authority considers however that allowing stakeholders to propose new methods or variations for methods at regular intervals could alert the Department to possible new abatement opportunities and reduce some of the pressure from stakeholders to develop their own ERF methods. Assessing such proposals would still carry an administrative cost for the Government however and the Authority sees most value in proposals that have a high likelihood of delivering low cost, significant abatement for the ERF and broad uptake within a given sector or industry. Proposals for new methods should also outline how they could meet the offsets integrity standards, given the importance of these standards for the integrity of the scheme.</w:t>
      </w:r>
    </w:p>
    <w:p w14:paraId="2EBB6173" w14:textId="77777777" w:rsidR="00022E60" w:rsidRPr="005206CA" w:rsidRDefault="00022E60">
      <w:pPr>
        <w:pStyle w:val="Heading2"/>
      </w:pPr>
      <w:bookmarkStart w:id="341" w:name="_Toc494905112"/>
      <w:bookmarkStart w:id="342" w:name="_Toc497819462"/>
      <w:bookmarkStart w:id="343" w:name="_Toc498691528"/>
      <w:bookmarkStart w:id="344" w:name="_Toc499043710"/>
      <w:bookmarkStart w:id="345" w:name="_Ref499043796"/>
      <w:bookmarkStart w:id="346" w:name="_Toc499051735"/>
      <w:bookmarkStart w:id="347" w:name="_Ref500248789"/>
      <w:bookmarkStart w:id="348" w:name="_Toc500251085"/>
      <w:bookmarkStart w:id="349" w:name="_Toc500251360"/>
      <w:bookmarkStart w:id="350" w:name="_Toc500253957"/>
      <w:bookmarkStart w:id="351" w:name="_Toc500401464"/>
      <w:bookmarkStart w:id="352" w:name="_Toc500490949"/>
      <w:bookmarkStart w:id="353" w:name="_Toc500512891"/>
      <w:bookmarkStart w:id="354" w:name="_Toc500514146"/>
      <w:bookmarkStart w:id="355" w:name="_Toc500516203"/>
      <w:r w:rsidRPr="005206CA">
        <w:t>Prioritising methods for development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65964DBE" w14:textId="2994E2E6" w:rsidR="00022E60" w:rsidRPr="005206CA" w:rsidRDefault="00022E60" w:rsidP="00022E60">
      <w:r w:rsidRPr="005206CA">
        <w:t xml:space="preserve">Under the ERF, the prioritisation of new methods for development is determined by the Minister </w:t>
      </w:r>
      <w:r w:rsidR="00594D2E" w:rsidRPr="005206CA">
        <w:t xml:space="preserve">for the Environment and Energy </w:t>
      </w:r>
      <w:r w:rsidRPr="005206CA">
        <w:t xml:space="preserve">based on advice from </w:t>
      </w:r>
      <w:r w:rsidR="003B4204" w:rsidRPr="005206CA">
        <w:t xml:space="preserve">the </w:t>
      </w:r>
      <w:r w:rsidRPr="005206CA">
        <w:t xml:space="preserve">ERAC, the </w:t>
      </w:r>
      <w:r w:rsidR="00F37384" w:rsidRPr="005206CA">
        <w:t>Department</w:t>
      </w:r>
      <w:r w:rsidRPr="005206CA">
        <w:t xml:space="preserve"> and stakeholders (</w:t>
      </w:r>
      <w:r w:rsidRPr="005206CA">
        <w:rPr>
          <w:rStyle w:val="In-textChar"/>
        </w:rPr>
        <w:t>DoE 2015</w:t>
      </w:r>
      <w:r w:rsidRPr="005206CA">
        <w:t xml:space="preserve">). Prioritisation is intended to focus on methods with the potential for greatest uptake and genuine abatement. </w:t>
      </w:r>
      <w:r w:rsidRPr="005206CA">
        <w:rPr>
          <w:color w:val="000000" w:themeColor="text1"/>
        </w:rPr>
        <w:t>There are currently some new methods under development including for savanna burning sequestration and industrial equipment upgrades</w:t>
      </w:r>
      <w:r w:rsidR="007806BA" w:rsidRPr="005206CA">
        <w:rPr>
          <w:color w:val="000000" w:themeColor="text1"/>
        </w:rPr>
        <w:t xml:space="preserve"> (</w:t>
      </w:r>
      <w:r w:rsidR="007806BA" w:rsidRPr="005206CA">
        <w:rPr>
          <w:rStyle w:val="In-textChar"/>
        </w:rPr>
        <w:t xml:space="preserve">DoEE </w:t>
      </w:r>
      <w:r w:rsidR="005B1DD1" w:rsidRPr="005206CA">
        <w:rPr>
          <w:rStyle w:val="In-textChar"/>
        </w:rPr>
        <w:t>n.d.b.</w:t>
      </w:r>
      <w:r w:rsidR="007806BA" w:rsidRPr="005206CA">
        <w:rPr>
          <w:rStyle w:val="In-textChar"/>
        </w:rPr>
        <w:t>)</w:t>
      </w:r>
      <w:r w:rsidRPr="005206CA">
        <w:rPr>
          <w:rStyle w:val="In-textChar"/>
        </w:rPr>
        <w:t>.</w:t>
      </w:r>
      <w:r w:rsidRPr="005206CA">
        <w:rPr>
          <w:color w:val="000000" w:themeColor="text1"/>
        </w:rPr>
        <w:t xml:space="preserve"> </w:t>
      </w:r>
    </w:p>
    <w:p w14:paraId="5231717A" w14:textId="4FD15B6F" w:rsidR="00022E60" w:rsidRPr="005206CA" w:rsidRDefault="00022E60" w:rsidP="00022E60">
      <w:r w:rsidRPr="005206CA">
        <w:t>Stakeholders have indicated to the Authority that they would like greater transparency in how methods are prioritised (Climate Friendly</w:t>
      </w:r>
      <w:r w:rsidR="00325D8B" w:rsidRPr="005206CA">
        <w:t xml:space="preserve"> submission o</w:t>
      </w:r>
      <w:r w:rsidR="00F523E9" w:rsidRPr="005206CA">
        <w:t>n</w:t>
      </w:r>
      <w:r w:rsidR="00325D8B" w:rsidRPr="005206CA">
        <w:t xml:space="preserve"> this review</w:t>
      </w:r>
      <w:r w:rsidRPr="005206CA">
        <w:t>, CO</w:t>
      </w:r>
      <w:r w:rsidRPr="005206CA">
        <w:rPr>
          <w:vertAlign w:val="subscript"/>
        </w:rPr>
        <w:t>2</w:t>
      </w:r>
      <w:r w:rsidRPr="005206CA">
        <w:t xml:space="preserve"> Australia Limited</w:t>
      </w:r>
      <w:r w:rsidR="00325D8B" w:rsidRPr="005206CA">
        <w:t xml:space="preserve"> submission o</w:t>
      </w:r>
      <w:r w:rsidR="00F523E9" w:rsidRPr="005206CA">
        <w:t>n</w:t>
      </w:r>
      <w:r w:rsidR="00325D8B" w:rsidRPr="005206CA">
        <w:t xml:space="preserve"> </w:t>
      </w:r>
      <w:r w:rsidR="002874CD" w:rsidRPr="005206CA">
        <w:t xml:space="preserve">the </w:t>
      </w:r>
      <w:r w:rsidR="00325D8B" w:rsidRPr="005206CA">
        <w:t>2017 review</w:t>
      </w:r>
      <w:r w:rsidRPr="005206CA">
        <w:t>) and more frequent publication of the priority list</w:t>
      </w:r>
      <w:r w:rsidR="00594D2E" w:rsidRPr="005206CA">
        <w:t>.</w:t>
      </w:r>
      <w:r w:rsidRPr="005206CA">
        <w:t xml:space="preserve"> </w:t>
      </w:r>
    </w:p>
    <w:p w14:paraId="4DDB2E09" w14:textId="792D71DB" w:rsidR="00022E60" w:rsidRPr="005206CA" w:rsidRDefault="00022E60" w:rsidP="002874CD">
      <w:r w:rsidRPr="005206CA">
        <w:t xml:space="preserve">For example, in their </w:t>
      </w:r>
      <w:r w:rsidR="007E5547" w:rsidRPr="005206CA">
        <w:t>submission on</w:t>
      </w:r>
      <w:r w:rsidRPr="005206CA">
        <w:t xml:space="preserve"> </w:t>
      </w:r>
      <w:r w:rsidR="00786066" w:rsidRPr="005206CA">
        <w:t>this</w:t>
      </w:r>
      <w:r w:rsidRPr="005206CA">
        <w:t xml:space="preserve"> </w:t>
      </w:r>
      <w:r w:rsidR="002874CD" w:rsidRPr="005206CA">
        <w:t>r</w:t>
      </w:r>
      <w:r w:rsidRPr="005206CA">
        <w:t>eview, the CMI states that:</w:t>
      </w:r>
    </w:p>
    <w:p w14:paraId="6C81EB81" w14:textId="5F75C489" w:rsidR="00022E60" w:rsidRPr="005206CA" w:rsidRDefault="00022E60" w:rsidP="00AC7279">
      <w:pPr>
        <w:ind w:left="284"/>
        <w:rPr>
          <w:i/>
        </w:rPr>
      </w:pPr>
      <w:r w:rsidRPr="005206CA">
        <w:rPr>
          <w:i/>
        </w:rPr>
        <w:t xml:space="preserve"> </w:t>
      </w:r>
      <w:r w:rsidR="00486A9D" w:rsidRPr="005206CA">
        <w:rPr>
          <w:i/>
        </w:rPr>
        <w:t>…</w:t>
      </w:r>
      <w:r w:rsidRPr="005206CA">
        <w:rPr>
          <w:i/>
        </w:rPr>
        <w:t>it is essential that the method development</w:t>
      </w:r>
      <w:r w:rsidR="00A56B29" w:rsidRPr="005206CA">
        <w:rPr>
          <w:i/>
        </w:rPr>
        <w:t>…</w:t>
      </w:r>
      <w:r w:rsidRPr="005206CA">
        <w:rPr>
          <w:i/>
        </w:rPr>
        <w:t xml:space="preserve"> and method review process is transparent. Any changes to current methods should be undertaken through appropriate stakeholder engagement to ensure industry views are incorporated and timeframes</w:t>
      </w:r>
      <w:r w:rsidR="00A56B29" w:rsidRPr="005206CA">
        <w:rPr>
          <w:i/>
        </w:rPr>
        <w:t>…</w:t>
      </w:r>
      <w:r w:rsidRPr="005206CA">
        <w:rPr>
          <w:i/>
        </w:rPr>
        <w:t xml:space="preserve"> are appropriate</w:t>
      </w:r>
      <w:r w:rsidR="002874CD" w:rsidRPr="005206CA">
        <w:rPr>
          <w:i/>
        </w:rPr>
        <w:t xml:space="preserve"> </w:t>
      </w:r>
      <w:r w:rsidR="002874CD" w:rsidRPr="005206CA">
        <w:t>(p. 1</w:t>
      </w:r>
      <w:r w:rsidR="00786066" w:rsidRPr="005206CA">
        <w:t>2</w:t>
      </w:r>
      <w:r w:rsidR="002874CD" w:rsidRPr="005206CA">
        <w:t>)</w:t>
      </w:r>
      <w:r w:rsidRPr="005206CA">
        <w:t>.</w:t>
      </w:r>
    </w:p>
    <w:p w14:paraId="4F34A4B4" w14:textId="44019DDA" w:rsidR="00022E60" w:rsidRPr="005206CA" w:rsidRDefault="00022E60" w:rsidP="00022E60">
      <w:r w:rsidRPr="005206CA">
        <w:t>The Authority is of the view that a more transparent approach for method prioritisation and a more regular announcement of method priorities (every two years) would also help the market plan for new projects and alleviate pressure from stakeholders to develop methods themselves. Ideally this process would be timed to reflect the outcomes from the process to assess stakeholder proposals for method development</w:t>
      </w:r>
      <w:r w:rsidR="00594D2E" w:rsidRPr="005206CA">
        <w:t xml:space="preserve"> (Figure 3)</w:t>
      </w:r>
      <w:r w:rsidRPr="005206CA">
        <w:t>.</w:t>
      </w:r>
    </w:p>
    <w:p w14:paraId="305720FA" w14:textId="77777777" w:rsidR="005A7522" w:rsidRPr="005206CA" w:rsidRDefault="005A7522">
      <w:bookmarkStart w:id="356" w:name="_Ref499044117"/>
      <w:bookmarkStart w:id="357" w:name="_Toc499051705"/>
      <w:r w:rsidRPr="005206CA">
        <w:rPr>
          <w:cap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A240A" w:rsidRPr="005206CA" w14:paraId="302F7EEF" w14:textId="77777777" w:rsidTr="00046263">
        <w:trPr>
          <w:cnfStyle w:val="100000000000" w:firstRow="1" w:lastRow="0" w:firstColumn="0" w:lastColumn="0" w:oddVBand="0" w:evenVBand="0" w:oddHBand="0" w:evenHBand="0" w:firstRowFirstColumn="0" w:firstRowLastColumn="0" w:lastRowFirstColumn="0" w:lastRowLastColumn="0"/>
        </w:trPr>
        <w:tc>
          <w:tcPr>
            <w:tcW w:w="9212" w:type="dxa"/>
          </w:tcPr>
          <w:p w14:paraId="1E52EEDA" w14:textId="77777777" w:rsidR="00BA240A" w:rsidRDefault="00BA240A" w:rsidP="0038754B">
            <w:pPr>
              <w:pStyle w:val="CCAFigure"/>
            </w:pPr>
            <w:bookmarkStart w:id="358" w:name="_Toc500251054"/>
            <w:bookmarkStart w:id="359" w:name="_Toc500251329"/>
            <w:bookmarkStart w:id="360" w:name="_Toc500253926"/>
            <w:bookmarkStart w:id="361" w:name="_Toc500490917"/>
            <w:bookmarkStart w:id="362" w:name="_Toc500513612"/>
            <w:bookmarkStart w:id="363" w:name="_Toc500516171"/>
            <w:r w:rsidRPr="005206CA">
              <w:t xml:space="preserve">Figure </w:t>
            </w:r>
            <w:r w:rsidR="00FA2002">
              <w:fldChar w:fldCharType="begin"/>
            </w:r>
            <w:r w:rsidR="00FA2002">
              <w:instrText xml:space="preserve"> SEQ Figure \* ARABIC </w:instrText>
            </w:r>
            <w:r w:rsidR="00FA2002">
              <w:fldChar w:fldCharType="separate"/>
            </w:r>
            <w:r w:rsidR="00FA2002">
              <w:rPr>
                <w:noProof/>
              </w:rPr>
              <w:t>3</w:t>
            </w:r>
            <w:r w:rsidR="00FA2002">
              <w:rPr>
                <w:noProof/>
              </w:rPr>
              <w:fldChar w:fldCharType="end"/>
            </w:r>
            <w:bookmarkEnd w:id="356"/>
            <w:r w:rsidRPr="005206CA">
              <w:t>: Proposed process for method prioritisation</w:t>
            </w:r>
            <w:bookmarkEnd w:id="357"/>
            <w:bookmarkEnd w:id="358"/>
            <w:bookmarkEnd w:id="359"/>
            <w:bookmarkEnd w:id="360"/>
            <w:bookmarkEnd w:id="361"/>
            <w:bookmarkEnd w:id="362"/>
            <w:bookmarkEnd w:id="363"/>
          </w:p>
          <w:p w14:paraId="6E14D4AA" w14:textId="5CC182D7" w:rsidR="00BA240A" w:rsidRPr="00AC7279" w:rsidRDefault="0006626D" w:rsidP="00AC7279">
            <w:pPr>
              <w:pStyle w:val="Footnote"/>
              <w:rPr>
                <w:color w:val="000000" w:themeColor="text1"/>
              </w:rPr>
            </w:pPr>
            <w:r w:rsidRPr="005206CA">
              <w:rPr>
                <w:noProof/>
                <w:lang w:eastAsia="en-AU"/>
              </w:rPr>
              <w:drawing>
                <wp:inline distT="0" distB="0" distL="0" distR="0" wp14:anchorId="7086E4BF" wp14:editId="73740128">
                  <wp:extent cx="5848985" cy="2412365"/>
                  <wp:effectExtent l="0" t="0" r="0" b="6985"/>
                  <wp:docPr id="3" name="Picture 3" descr="Figure 3 is a schematic, which shows the proposed process for method prioritisation: Firstly, stakeholders submit proposals. Secondly, the Department assesses proposals to determine if they meet the offsets integrity standards and have a high likelihood of broad uptake and delivery of low cost, significant abatement. Thirdly, the Minister agrees priorities and Department develops method with stakeholder input. " title="Figure 3: Proposed process for method prior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 Dev 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8985" cy="2412365"/>
                          </a:xfrm>
                          <a:prstGeom prst="rect">
                            <a:avLst/>
                          </a:prstGeom>
                        </pic:spPr>
                      </pic:pic>
                    </a:graphicData>
                  </a:graphic>
                </wp:inline>
              </w:drawing>
            </w:r>
            <w:r w:rsidRPr="00AC7279">
              <w:rPr>
                <w:b/>
              </w:rPr>
              <w:t>Source:</w:t>
            </w:r>
            <w:r w:rsidRPr="0006626D">
              <w:t xml:space="preserve"> Climate Change A</w:t>
            </w:r>
            <w:r w:rsidRPr="004D5389">
              <w:t>uthority</w:t>
            </w:r>
            <w:r w:rsidRPr="00AC7279">
              <w:t>.</w:t>
            </w:r>
          </w:p>
        </w:tc>
      </w:tr>
      <w:tr w:rsidR="00BA240A" w:rsidRPr="005206CA" w14:paraId="53BE87D5" w14:textId="77777777" w:rsidTr="00AC7279">
        <w:trPr>
          <w:cnfStyle w:val="000000100000" w:firstRow="0" w:lastRow="0" w:firstColumn="0" w:lastColumn="0" w:oddVBand="0" w:evenVBand="0" w:oddHBand="1" w:evenHBand="0" w:firstRowFirstColumn="0" w:firstRowLastColumn="0" w:lastRowFirstColumn="0" w:lastRowLastColumn="0"/>
        </w:trPr>
        <w:tc>
          <w:tcPr>
            <w:tcW w:w="9212" w:type="dxa"/>
            <w:tcBorders>
              <w:bottom w:val="single" w:sz="4" w:space="0" w:color="auto"/>
            </w:tcBorders>
          </w:tcPr>
          <w:p w14:paraId="13CDA84F" w14:textId="06C56C64" w:rsidR="00BA240A" w:rsidRPr="005206CA" w:rsidRDefault="00BA240A" w:rsidP="0038754B">
            <w:pPr>
              <w:tabs>
                <w:tab w:val="left" w:pos="495"/>
              </w:tabs>
            </w:pPr>
          </w:p>
        </w:tc>
      </w:tr>
      <w:tr w:rsidR="00022E60" w:rsidRPr="005206CA" w14:paraId="2D4F3FA9" w14:textId="77777777" w:rsidTr="00AC7279">
        <w:tblPrEx>
          <w:shd w:val="clear" w:color="auto" w:fill="E6ECF2"/>
        </w:tblPrEx>
        <w:trPr>
          <w:cnfStyle w:val="000000010000" w:firstRow="0" w:lastRow="0" w:firstColumn="0" w:lastColumn="0" w:oddVBand="0" w:evenVBand="0" w:oddHBand="0" w:evenHBand="1" w:firstRowFirstColumn="0" w:firstRowLastColumn="0" w:lastRowFirstColumn="0" w:lastRowLastColumn="0"/>
        </w:trPr>
        <w:tc>
          <w:tcPr>
            <w:tcW w:w="921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tcPr>
          <w:p w14:paraId="7D55A225" w14:textId="42B62911" w:rsidR="00022E60" w:rsidRPr="005206CA" w:rsidRDefault="00022E60" w:rsidP="00E3411C">
            <w:pPr>
              <w:rPr>
                <w:b/>
                <w:color w:val="159DCE"/>
                <w:sz w:val="18"/>
                <w:szCs w:val="18"/>
              </w:rPr>
            </w:pPr>
            <w:r w:rsidRPr="005206CA">
              <w:rPr>
                <w:b/>
                <w:color w:val="159DCE"/>
                <w:sz w:val="18"/>
                <w:szCs w:val="18"/>
              </w:rPr>
              <w:t>RECOMMENDATION</w:t>
            </w:r>
          </w:p>
          <w:p w14:paraId="593A5156" w14:textId="236D4915" w:rsidR="00022E60" w:rsidRPr="005206CA" w:rsidRDefault="00022E60" w:rsidP="00A95AE3">
            <w:pPr>
              <w:spacing w:after="140" w:line="320" w:lineRule="exact"/>
              <w:ind w:left="851" w:hanging="851"/>
              <w:rPr>
                <w:sz w:val="18"/>
                <w:szCs w:val="18"/>
              </w:rPr>
            </w:pPr>
            <w:bookmarkStart w:id="364" w:name="_Ref497827503"/>
            <w:bookmarkStart w:id="365" w:name="R1"/>
            <w:bookmarkStart w:id="366" w:name="_Toc497827425"/>
            <w:bookmarkStart w:id="367" w:name="_Toc497834061"/>
            <w:bookmarkStart w:id="368" w:name="_Toc498534513"/>
            <w:bookmarkStart w:id="369" w:name="_Toc498614708"/>
            <w:bookmarkStart w:id="370" w:name="_Toc498691463"/>
            <w:bookmarkStart w:id="371" w:name="_Toc499051662"/>
            <w:bookmarkStart w:id="372" w:name="_Toc499202047"/>
            <w:bookmarkStart w:id="373" w:name="_Toc499892331"/>
            <w:bookmarkStart w:id="374" w:name="_Toc499898691"/>
            <w:bookmarkStart w:id="375" w:name="_Toc499899331"/>
            <w:bookmarkStart w:id="376" w:name="_Ref500236663"/>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w:t>
            </w:r>
            <w:r w:rsidRPr="005206CA">
              <w:rPr>
                <w:rFonts w:cs="Arial"/>
                <w:sz w:val="18"/>
              </w:rPr>
              <w:fldChar w:fldCharType="end"/>
            </w:r>
            <w:bookmarkEnd w:id="364"/>
            <w:r w:rsidRPr="005206CA">
              <w:rPr>
                <w:rFonts w:cs="Arial"/>
                <w:sz w:val="18"/>
              </w:rPr>
              <w:t xml:space="preserve">. </w:t>
            </w:r>
            <w:bookmarkEnd w:id="365"/>
            <w:r w:rsidRPr="005206CA">
              <w:rPr>
                <w:rFonts w:cs="Arial"/>
                <w:sz w:val="18"/>
              </w:rPr>
              <w:tab/>
            </w:r>
            <w:bookmarkStart w:id="377" w:name="_Ref500236482"/>
            <w:r w:rsidR="00AE3B53" w:rsidRPr="005206CA">
              <w:rPr>
                <w:sz w:val="18"/>
                <w:szCs w:val="18"/>
                <w:lang w:val="en-US"/>
              </w:rPr>
              <w:t>The Department establish a formal submission process so stakeholders can propose new Emissions Reduction Fund methods. Following assessment of stakeholder proposals by the Department, the Minister would publish priorities for method development every two years.</w:t>
            </w:r>
            <w:bookmarkEnd w:id="366"/>
            <w:bookmarkEnd w:id="367"/>
            <w:bookmarkEnd w:id="368"/>
            <w:bookmarkEnd w:id="369"/>
            <w:bookmarkEnd w:id="370"/>
            <w:bookmarkEnd w:id="371"/>
            <w:bookmarkEnd w:id="372"/>
            <w:bookmarkEnd w:id="373"/>
            <w:bookmarkEnd w:id="374"/>
            <w:bookmarkEnd w:id="375"/>
            <w:bookmarkEnd w:id="377"/>
            <w:bookmarkEnd w:id="376"/>
          </w:p>
        </w:tc>
      </w:tr>
    </w:tbl>
    <w:p w14:paraId="3F4EE09A" w14:textId="77777777" w:rsidR="007E0199" w:rsidRPr="007E0199" w:rsidRDefault="007E0199" w:rsidP="00BF0516">
      <w:bookmarkStart w:id="378" w:name="_Toc494905113"/>
      <w:bookmarkStart w:id="379" w:name="_Toc497819463"/>
      <w:bookmarkStart w:id="380" w:name="_Toc498691529"/>
      <w:bookmarkStart w:id="381" w:name="_Toc499043711"/>
      <w:bookmarkStart w:id="382" w:name="_Ref499043793"/>
      <w:bookmarkStart w:id="383" w:name="_Toc499051736"/>
      <w:bookmarkStart w:id="384" w:name="_Ref500247627"/>
      <w:bookmarkStart w:id="385" w:name="_Toc500251086"/>
      <w:bookmarkStart w:id="386" w:name="_Toc500251361"/>
      <w:bookmarkStart w:id="387" w:name="_Toc500253958"/>
    </w:p>
    <w:p w14:paraId="544A140E" w14:textId="650BA5FE" w:rsidR="00022E60" w:rsidRPr="005206CA" w:rsidRDefault="009E324F">
      <w:pPr>
        <w:pStyle w:val="Heading2"/>
        <w:rPr>
          <w:i/>
        </w:rPr>
      </w:pPr>
      <w:bookmarkStart w:id="388" w:name="_Ref500323413"/>
      <w:bookmarkStart w:id="389" w:name="_Toc500401465"/>
      <w:bookmarkStart w:id="390" w:name="_Toc500490950"/>
      <w:bookmarkStart w:id="391" w:name="_Toc500512892"/>
      <w:bookmarkStart w:id="392" w:name="_Toc500514147"/>
      <w:bookmarkStart w:id="393" w:name="_Toc500516204"/>
      <w:r w:rsidRPr="005206CA">
        <w:t>E</w:t>
      </w:r>
      <w:r w:rsidR="0029436D" w:rsidRPr="005206CA">
        <w:t xml:space="preserve">missions </w:t>
      </w:r>
      <w:r w:rsidRPr="005206CA">
        <w:t>Reduction A</w:t>
      </w:r>
      <w:r w:rsidR="0029436D" w:rsidRPr="005206CA">
        <w:t xml:space="preserve">ssurance </w:t>
      </w:r>
      <w:r w:rsidRPr="005206CA">
        <w:t xml:space="preserve">Committee </w:t>
      </w:r>
      <w:r w:rsidR="00022E60" w:rsidRPr="005206CA">
        <w:t>and the method review process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8F038E0" w14:textId="005A26D5" w:rsidR="00022E60" w:rsidRPr="005206CA" w:rsidRDefault="00022E60" w:rsidP="00022E60">
      <w:r w:rsidRPr="005206CA">
        <w:t xml:space="preserve">Once developed by the Department, methods are assessed by the independent ERAC. </w:t>
      </w:r>
      <w:r w:rsidR="00F37384" w:rsidRPr="005206CA">
        <w:t xml:space="preserve">The </w:t>
      </w:r>
      <w:r w:rsidRPr="005206CA">
        <w:t>ERAC provides advice to the Minister for the Environment and Energy, following public consultation, on the suitability of draft methods or variations to existing methods. The Minister makes the final decision whether to make or vary a method (</w:t>
      </w:r>
      <w:r w:rsidR="00A16F0B" w:rsidRPr="005206CA">
        <w:t>Australian Government 2014</w:t>
      </w:r>
      <w:r w:rsidRPr="005206CA">
        <w:t>) and must take into account a range of factors including the ERAC</w:t>
      </w:r>
      <w:r w:rsidR="00BC549D" w:rsidRPr="005206CA">
        <w:t>’s advice</w:t>
      </w:r>
      <w:r w:rsidRPr="005206CA">
        <w:t xml:space="preserve"> and the potential for adverse impacts (</w:t>
      </w:r>
      <w:r w:rsidR="00786066" w:rsidRPr="005206CA">
        <w:rPr>
          <w:rStyle w:val="SectionChapterChar"/>
        </w:rPr>
        <w:fldChar w:fldCharType="begin"/>
      </w:r>
      <w:r w:rsidR="00786066" w:rsidRPr="0033387E">
        <w:rPr>
          <w:rStyle w:val="SectionChapterChar"/>
        </w:rPr>
        <w:instrText xml:space="preserve"> REF _Ref500245892 \w \h </w:instrText>
      </w:r>
      <w:r w:rsidR="00786066" w:rsidRPr="005206CA">
        <w:rPr>
          <w:rStyle w:val="SectionChapterChar"/>
        </w:rPr>
        <w:instrText xml:space="preserve"> \* MERGEFORMAT </w:instrText>
      </w:r>
      <w:r w:rsidR="00786066" w:rsidRPr="005206CA">
        <w:rPr>
          <w:rStyle w:val="SectionChapterChar"/>
        </w:rPr>
      </w:r>
      <w:r w:rsidR="00786066" w:rsidRPr="005206CA">
        <w:rPr>
          <w:rStyle w:val="SectionChapterChar"/>
        </w:rPr>
        <w:fldChar w:fldCharType="separate"/>
      </w:r>
      <w:r w:rsidR="00FA2002">
        <w:rPr>
          <w:rStyle w:val="SectionChapterChar"/>
        </w:rPr>
        <w:t>Chapter 9</w:t>
      </w:r>
      <w:r w:rsidR="00786066" w:rsidRPr="005206CA">
        <w:rPr>
          <w:rStyle w:val="SectionChapterChar"/>
        </w:rPr>
        <w:fldChar w:fldCharType="end"/>
      </w:r>
      <w:r w:rsidRPr="005206CA">
        <w:t xml:space="preserve">). </w:t>
      </w:r>
    </w:p>
    <w:p w14:paraId="72C2B067" w14:textId="77777777" w:rsidR="00022E60" w:rsidRPr="005206CA" w:rsidRDefault="00022E60" w:rsidP="00022E60">
      <w:r w:rsidRPr="005206CA">
        <w:t xml:space="preserve">The Minister must not make a method determination if </w:t>
      </w:r>
      <w:r w:rsidR="003B4204" w:rsidRPr="005206CA">
        <w:t xml:space="preserve">the </w:t>
      </w:r>
      <w:r w:rsidRPr="005206CA">
        <w:t>ERAC advises that a method does not meet the offsets integrity standards (</w:t>
      </w:r>
      <w:r w:rsidRPr="005206CA">
        <w:rPr>
          <w:rStyle w:val="In-textChar"/>
        </w:rPr>
        <w:t>CFI Act</w:t>
      </w:r>
      <w:r w:rsidRPr="005206CA">
        <w:t xml:space="preserve">). </w:t>
      </w:r>
    </w:p>
    <w:p w14:paraId="31F6671D" w14:textId="75B2ED55" w:rsidR="00022E60" w:rsidRPr="005206CA" w:rsidRDefault="00022E60" w:rsidP="00022E60">
      <w:r w:rsidRPr="005206CA">
        <w:t>Once the</w:t>
      </w:r>
      <w:r w:rsidR="00F37384" w:rsidRPr="005206CA">
        <w:t xml:space="preserve"> Department</w:t>
      </w:r>
      <w:r w:rsidRPr="005206CA">
        <w:t xml:space="preserve"> has prepared a draft method, it is considered by </w:t>
      </w:r>
      <w:r w:rsidR="003B4204" w:rsidRPr="005206CA">
        <w:t xml:space="preserve">the </w:t>
      </w:r>
      <w:r w:rsidRPr="005206CA">
        <w:t xml:space="preserve">ERAC before being opened for public consultation for a period of between two and four weeks. Organisations and individuals can make submissions on the draft legislative instrument. </w:t>
      </w:r>
    </w:p>
    <w:p w14:paraId="54DE9B93" w14:textId="5C7AD984" w:rsidR="00022E60" w:rsidRPr="005206CA" w:rsidRDefault="003B4204" w:rsidP="00022E60">
      <w:r w:rsidRPr="005206CA">
        <w:t xml:space="preserve">The </w:t>
      </w:r>
      <w:r w:rsidR="00022E60" w:rsidRPr="005206CA">
        <w:t>ERAC reviews each method at least once every four years and can recommend to the Minister for his or her decision that a given method be reviewed more frequently (say a year after being made). ERAC review of methods is required to examine whether the method continues to comply with the offsets integrity standards. The ERAC also reviews the additionality of methods to check whether their crediting periods should be extended (</w:t>
      </w:r>
      <w:r w:rsidR="00786066" w:rsidRPr="005206CA">
        <w:rPr>
          <w:rStyle w:val="SectionChapterChar"/>
        </w:rPr>
        <w:fldChar w:fldCharType="begin"/>
      </w:r>
      <w:r w:rsidR="00786066" w:rsidRPr="0033387E">
        <w:rPr>
          <w:rStyle w:val="SectionChapterChar"/>
        </w:rPr>
        <w:instrText xml:space="preserve"> REF _Ref500245957 \w \h </w:instrText>
      </w:r>
      <w:r w:rsidR="00786066" w:rsidRPr="005206CA">
        <w:rPr>
          <w:rStyle w:val="SectionChapterChar"/>
        </w:rPr>
        <w:instrText xml:space="preserve"> \* MERGEFORMAT </w:instrText>
      </w:r>
      <w:r w:rsidR="00786066" w:rsidRPr="005206CA">
        <w:rPr>
          <w:rStyle w:val="SectionChapterChar"/>
        </w:rPr>
      </w:r>
      <w:r w:rsidR="00786066" w:rsidRPr="005206CA">
        <w:rPr>
          <w:rStyle w:val="SectionChapterChar"/>
        </w:rPr>
        <w:fldChar w:fldCharType="separate"/>
      </w:r>
      <w:r w:rsidR="00FA2002">
        <w:rPr>
          <w:rStyle w:val="SectionChapterChar"/>
        </w:rPr>
        <w:t>Chapter 4</w:t>
      </w:r>
      <w:r w:rsidR="00786066" w:rsidRPr="005206CA">
        <w:rPr>
          <w:rStyle w:val="SectionChapterChar"/>
        </w:rPr>
        <w:fldChar w:fldCharType="end"/>
      </w:r>
      <w:r w:rsidR="00022E60" w:rsidRPr="005206CA">
        <w:t xml:space="preserve">). Members of the public can request that </w:t>
      </w:r>
      <w:r w:rsidR="00EA182E" w:rsidRPr="005206CA">
        <w:t xml:space="preserve">the </w:t>
      </w:r>
      <w:r w:rsidR="00022E60" w:rsidRPr="005206CA">
        <w:t xml:space="preserve">ERAC review methods. </w:t>
      </w:r>
      <w:r w:rsidR="00F37384" w:rsidRPr="005206CA">
        <w:t xml:space="preserve">The </w:t>
      </w:r>
      <w:r w:rsidR="00022E60" w:rsidRPr="005206CA">
        <w:t xml:space="preserve">ERAC can suspend a method for up to 12 months where there is reasonable evidence that it does not comply with the offsets integrity standards. New projects cannot be approved </w:t>
      </w:r>
      <w:r w:rsidR="007A009F" w:rsidRPr="005206CA">
        <w:t xml:space="preserve">while </w:t>
      </w:r>
      <w:r w:rsidR="00022E60" w:rsidRPr="005206CA">
        <w:t>a method is suspended</w:t>
      </w:r>
      <w:r w:rsidR="00594D2E" w:rsidRPr="005206CA">
        <w:t xml:space="preserve"> (</w:t>
      </w:r>
      <w:r w:rsidR="00594D2E" w:rsidRPr="005206CA">
        <w:rPr>
          <w:rStyle w:val="In-textChar"/>
        </w:rPr>
        <w:t>CFI Act</w:t>
      </w:r>
      <w:r w:rsidR="00594D2E" w:rsidRPr="005206CA">
        <w:t>)</w:t>
      </w:r>
      <w:r w:rsidR="00022E60" w:rsidRPr="005206CA">
        <w:t xml:space="preserve">. </w:t>
      </w:r>
    </w:p>
    <w:p w14:paraId="7B0340A6" w14:textId="2271EABA" w:rsidR="00022E60" w:rsidRPr="005206CA" w:rsidRDefault="00022E60" w:rsidP="00022E60">
      <w:r w:rsidRPr="005206CA">
        <w:t xml:space="preserve">The Authority considers that </w:t>
      </w:r>
      <w:r w:rsidR="003B4204" w:rsidRPr="005206CA">
        <w:t>the</w:t>
      </w:r>
      <w:r w:rsidRPr="005206CA">
        <w:t xml:space="preserve"> ERAC’s role in assessing methods against the offsets integrity standards is very important for the integrity of the scheme. The Authority is of the view that the ERAC is doing a good job in assessing methods, and notes that a number of draft methods have been amended at the ERAC’s request. For example, the ERAC </w:t>
      </w:r>
      <w:r w:rsidR="007A009F" w:rsidRPr="005206CA">
        <w:t xml:space="preserve">endorsed an </w:t>
      </w:r>
      <w:r w:rsidRPr="005206CA">
        <w:t>increase</w:t>
      </w:r>
      <w:r w:rsidR="007A009F" w:rsidRPr="005206CA">
        <w:t xml:space="preserve"> in </w:t>
      </w:r>
      <w:r w:rsidRPr="005206CA">
        <w:t xml:space="preserve">the 25 year permanence discount to 25 per cent for the plantation forestry method to address concerns that trees were likely to be harvested </w:t>
      </w:r>
      <w:r w:rsidR="007A009F" w:rsidRPr="005206CA">
        <w:t xml:space="preserve">and not re-established </w:t>
      </w:r>
      <w:r w:rsidRPr="005206CA">
        <w:t>at the end of the crediting period</w:t>
      </w:r>
      <w:r w:rsidR="003B4204" w:rsidRPr="005206CA">
        <w:t xml:space="preserve"> (</w:t>
      </w:r>
      <w:r w:rsidR="0006626D">
        <w:rPr>
          <w:rStyle w:val="SectionChapterChar"/>
        </w:rPr>
        <w:t>Box 2</w:t>
      </w:r>
      <w:r w:rsidR="003B4204" w:rsidRPr="005206CA">
        <w:t>)</w:t>
      </w:r>
      <w:r w:rsidRPr="005206CA">
        <w:t xml:space="preserve">. In addition, the ERAC rejected the draft landfill biofilters method because the scientific basis for estimating abatement was </w:t>
      </w:r>
      <w:r w:rsidR="0096341B" w:rsidRPr="005206CA">
        <w:t xml:space="preserve">too </w:t>
      </w:r>
      <w:r w:rsidRPr="005206CA">
        <w:t>uncertain.</w:t>
      </w:r>
    </w:p>
    <w:p w14:paraId="46D40FDF" w14:textId="162B9399" w:rsidR="00022E60" w:rsidRPr="005206CA" w:rsidRDefault="00022E60" w:rsidP="00022E60">
      <w:r w:rsidRPr="005206CA">
        <w:t xml:space="preserve">The Authority notes however that </w:t>
      </w:r>
      <w:r w:rsidR="007A009F" w:rsidRPr="005206CA">
        <w:t>i</w:t>
      </w:r>
      <w:r w:rsidRPr="005206CA">
        <w:t>nterpretation of the offset</w:t>
      </w:r>
      <w:r w:rsidR="007D2CB6">
        <w:t>s</w:t>
      </w:r>
      <w:r w:rsidRPr="005206CA">
        <w:t xml:space="preserve"> integrity standards also requires a degree of judgement from the ERAC members and there may be a risk over time, as new members join the ERAC, that its decision making is perceived as lacking consistency.</w:t>
      </w:r>
    </w:p>
    <w:p w14:paraId="5071C9AF" w14:textId="11C40BD9" w:rsidR="00022E60" w:rsidRPr="005206CA" w:rsidRDefault="00022E60" w:rsidP="00022E60">
      <w:pPr>
        <w:rPr>
          <w:rFonts w:eastAsia="Times New Roman"/>
        </w:rPr>
      </w:pPr>
      <w:r w:rsidRPr="005206CA">
        <w:t xml:space="preserve">The Authority is of the view that </w:t>
      </w:r>
      <w:r w:rsidRPr="005206CA">
        <w:rPr>
          <w:rFonts w:eastAsia="Times New Roman"/>
        </w:rPr>
        <w:t xml:space="preserve">the ERAC should work with the Department to develop guidance </w:t>
      </w:r>
      <w:r w:rsidR="007A009F" w:rsidRPr="005206CA">
        <w:rPr>
          <w:rFonts w:eastAsia="Times New Roman"/>
        </w:rPr>
        <w:t xml:space="preserve">in the form of </w:t>
      </w:r>
      <w:r w:rsidR="00466562" w:rsidRPr="005206CA">
        <w:rPr>
          <w:rFonts w:eastAsia="Times New Roman"/>
        </w:rPr>
        <w:t xml:space="preserve">a </w:t>
      </w:r>
      <w:r w:rsidR="007A009F" w:rsidRPr="005206CA">
        <w:rPr>
          <w:rFonts w:eastAsia="Times New Roman"/>
        </w:rPr>
        <w:t>legislative rule</w:t>
      </w:r>
      <w:r w:rsidR="00A57A29" w:rsidRPr="005206CA">
        <w:rPr>
          <w:rStyle w:val="FootnoteReference"/>
          <w:rFonts w:eastAsia="Times New Roman"/>
        </w:rPr>
        <w:footnoteReference w:id="5"/>
      </w:r>
      <w:r w:rsidR="007A009F" w:rsidRPr="005206CA">
        <w:rPr>
          <w:rFonts w:eastAsia="Times New Roman"/>
        </w:rPr>
        <w:t xml:space="preserve"> </w:t>
      </w:r>
      <w:r w:rsidRPr="005206CA">
        <w:rPr>
          <w:rFonts w:eastAsia="Times New Roman"/>
        </w:rPr>
        <w:t xml:space="preserve">to clarify how the ERAC will interpret the ERF offsets integrity standards and what information will be taken into account in making a decision on the standards. Such guidance </w:t>
      </w:r>
      <w:r w:rsidR="0096341B" w:rsidRPr="005206CA">
        <w:rPr>
          <w:rFonts w:eastAsia="Times New Roman"/>
        </w:rPr>
        <w:t>c</w:t>
      </w:r>
      <w:r w:rsidRPr="005206CA">
        <w:rPr>
          <w:rFonts w:eastAsia="Times New Roman"/>
        </w:rPr>
        <w:t xml:space="preserve">ould assist transparency and help maintain consistency in </w:t>
      </w:r>
      <w:r w:rsidR="003B4204" w:rsidRPr="005206CA">
        <w:rPr>
          <w:rFonts w:eastAsia="Times New Roman"/>
        </w:rPr>
        <w:t xml:space="preserve">the </w:t>
      </w:r>
      <w:r w:rsidRPr="005206CA">
        <w:rPr>
          <w:rFonts w:eastAsia="Times New Roman"/>
        </w:rPr>
        <w:t xml:space="preserve">ERAC’s decision making over time. </w:t>
      </w:r>
    </w:p>
    <w:tbl>
      <w:tblPr>
        <w:tblStyle w:val="TableGrid"/>
        <w:tblW w:w="0" w:type="auto"/>
        <w:shd w:val="clear" w:color="auto" w:fill="E6ECF2"/>
        <w:tblLook w:val="04A0" w:firstRow="1" w:lastRow="0" w:firstColumn="1" w:lastColumn="0" w:noHBand="0" w:noVBand="1"/>
      </w:tblPr>
      <w:tblGrid>
        <w:gridCol w:w="9202"/>
      </w:tblGrid>
      <w:tr w:rsidR="00022E60" w:rsidRPr="005206CA" w14:paraId="11A8B31F" w14:textId="77777777" w:rsidTr="00022E60">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38531917" w14:textId="77777777" w:rsidR="00022E60" w:rsidRPr="005206CA" w:rsidRDefault="00022E60" w:rsidP="00022E60">
            <w:pPr>
              <w:rPr>
                <w:b/>
                <w:color w:val="159DCE"/>
                <w:sz w:val="18"/>
                <w:szCs w:val="18"/>
              </w:rPr>
            </w:pPr>
            <w:r w:rsidRPr="005206CA">
              <w:rPr>
                <w:b/>
                <w:color w:val="159DCE"/>
                <w:sz w:val="18"/>
                <w:szCs w:val="18"/>
              </w:rPr>
              <w:t>RECOMMENDATION</w:t>
            </w:r>
          </w:p>
          <w:p w14:paraId="66F64B03" w14:textId="4FC5FDDA" w:rsidR="00022E60" w:rsidRPr="005206CA" w:rsidRDefault="00022E60" w:rsidP="00AE3B53">
            <w:pPr>
              <w:spacing w:after="140" w:line="320" w:lineRule="exact"/>
              <w:ind w:left="851" w:hanging="851"/>
              <w:rPr>
                <w:sz w:val="18"/>
                <w:szCs w:val="18"/>
              </w:rPr>
            </w:pPr>
            <w:bookmarkStart w:id="394" w:name="_Ref497827508"/>
            <w:bookmarkStart w:id="395" w:name="_Toc497827426"/>
            <w:bookmarkStart w:id="396" w:name="_Toc497834062"/>
            <w:bookmarkStart w:id="397" w:name="_Toc498534514"/>
            <w:bookmarkStart w:id="398" w:name="_Toc498614709"/>
            <w:bookmarkStart w:id="399" w:name="_Toc498691464"/>
            <w:bookmarkStart w:id="400" w:name="_Toc499051663"/>
            <w:bookmarkStart w:id="401" w:name="_Toc499202048"/>
            <w:bookmarkStart w:id="402" w:name="_Toc499892332"/>
            <w:bookmarkStart w:id="403" w:name="_Toc499898692"/>
            <w:bookmarkStart w:id="404" w:name="_Toc499899332"/>
            <w:bookmarkStart w:id="405" w:name="_Ref500236666"/>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2</w:t>
            </w:r>
            <w:r w:rsidRPr="005206CA">
              <w:rPr>
                <w:rFonts w:cs="Arial"/>
                <w:sz w:val="18"/>
              </w:rPr>
              <w:fldChar w:fldCharType="end"/>
            </w:r>
            <w:bookmarkEnd w:id="394"/>
            <w:r w:rsidRPr="005206CA">
              <w:rPr>
                <w:rFonts w:cs="Arial"/>
                <w:sz w:val="18"/>
              </w:rPr>
              <w:t xml:space="preserve">. </w:t>
            </w:r>
            <w:r w:rsidRPr="005206CA">
              <w:rPr>
                <w:rFonts w:cs="Arial"/>
                <w:sz w:val="18"/>
              </w:rPr>
              <w:tab/>
            </w:r>
            <w:bookmarkStart w:id="406" w:name="_Ref500236649"/>
            <w:r w:rsidRPr="005206CA">
              <w:rPr>
                <w:sz w:val="18"/>
                <w:szCs w:val="18"/>
              </w:rPr>
              <w:t>The 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A</w:t>
            </w:r>
            <w:r w:rsidR="00402F51" w:rsidRPr="005206CA">
              <w:rPr>
                <w:sz w:val="18"/>
                <w:szCs w:val="18"/>
              </w:rPr>
              <w:t xml:space="preserve">ssurance </w:t>
            </w:r>
            <w:r w:rsidRPr="005206CA">
              <w:rPr>
                <w:sz w:val="18"/>
                <w:szCs w:val="18"/>
              </w:rPr>
              <w:t>C</w:t>
            </w:r>
            <w:r w:rsidR="00402F51" w:rsidRPr="005206CA">
              <w:rPr>
                <w:sz w:val="18"/>
                <w:szCs w:val="18"/>
              </w:rPr>
              <w:t>ommittee</w:t>
            </w:r>
            <w:r w:rsidRPr="005206CA">
              <w:rPr>
                <w:sz w:val="18"/>
                <w:szCs w:val="18"/>
              </w:rPr>
              <w:t xml:space="preserve"> work with the Department to develop guidance (in the form of a legislative rule) to clarify how the 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A</w:t>
            </w:r>
            <w:r w:rsidR="00402F51" w:rsidRPr="005206CA">
              <w:rPr>
                <w:sz w:val="18"/>
                <w:szCs w:val="18"/>
              </w:rPr>
              <w:t xml:space="preserve">ssurance </w:t>
            </w:r>
            <w:r w:rsidRPr="005206CA">
              <w:rPr>
                <w:sz w:val="18"/>
                <w:szCs w:val="18"/>
              </w:rPr>
              <w:t>C</w:t>
            </w:r>
            <w:r w:rsidR="00402F51" w:rsidRPr="005206CA">
              <w:rPr>
                <w:sz w:val="18"/>
                <w:szCs w:val="18"/>
              </w:rPr>
              <w:t>ommittee</w:t>
            </w:r>
            <w:r w:rsidRPr="005206CA">
              <w:rPr>
                <w:sz w:val="18"/>
                <w:szCs w:val="18"/>
              </w:rPr>
              <w:t xml:space="preserve"> will interpret the 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F</w:t>
            </w:r>
            <w:r w:rsidR="00402F51" w:rsidRPr="005206CA">
              <w:rPr>
                <w:sz w:val="18"/>
                <w:szCs w:val="18"/>
              </w:rPr>
              <w:t>und</w:t>
            </w:r>
            <w:r w:rsidR="00466562" w:rsidRPr="005206CA">
              <w:rPr>
                <w:sz w:val="18"/>
                <w:szCs w:val="18"/>
              </w:rPr>
              <w:t>’s</w:t>
            </w:r>
            <w:r w:rsidRPr="005206CA">
              <w:rPr>
                <w:sz w:val="18"/>
                <w:szCs w:val="18"/>
              </w:rPr>
              <w:t xml:space="preserve"> offsets integrity standards.</w:t>
            </w:r>
            <w:bookmarkEnd w:id="395"/>
            <w:bookmarkEnd w:id="396"/>
            <w:bookmarkEnd w:id="397"/>
            <w:bookmarkEnd w:id="398"/>
            <w:bookmarkEnd w:id="399"/>
            <w:bookmarkEnd w:id="400"/>
            <w:bookmarkEnd w:id="401"/>
            <w:bookmarkEnd w:id="402"/>
            <w:bookmarkEnd w:id="403"/>
            <w:bookmarkEnd w:id="404"/>
            <w:bookmarkEnd w:id="406"/>
            <w:bookmarkEnd w:id="405"/>
          </w:p>
        </w:tc>
      </w:tr>
    </w:tbl>
    <w:p w14:paraId="6DEABA31" w14:textId="0E01224C" w:rsidR="001A3D97" w:rsidRPr="005206CA" w:rsidRDefault="001A3D97" w:rsidP="00E55312">
      <w:bookmarkStart w:id="407" w:name="_Toc494905114"/>
      <w:bookmarkStart w:id="408" w:name="_Toc497819464"/>
      <w:bookmarkStart w:id="409" w:name="_Toc498691530"/>
      <w:bookmarkStart w:id="410" w:name="_Toc499043712"/>
      <w:bookmarkStart w:id="411" w:name="_Toc499051737"/>
    </w:p>
    <w:p w14:paraId="0FEC5780" w14:textId="1F2FB4D5" w:rsidR="00022E60" w:rsidRPr="005206CA" w:rsidRDefault="009E324F">
      <w:pPr>
        <w:pStyle w:val="Heading2"/>
      </w:pPr>
      <w:bookmarkStart w:id="412" w:name="_Toc500251087"/>
      <w:bookmarkStart w:id="413" w:name="_Toc500251362"/>
      <w:bookmarkStart w:id="414" w:name="_Toc500253959"/>
      <w:bookmarkStart w:id="415" w:name="_Toc500401466"/>
      <w:bookmarkStart w:id="416" w:name="_Toc500490951"/>
      <w:bookmarkStart w:id="417" w:name="_Toc500512893"/>
      <w:bookmarkStart w:id="418" w:name="_Toc500514148"/>
      <w:bookmarkStart w:id="419" w:name="_Toc500516205"/>
      <w:r w:rsidRPr="005206CA">
        <w:t xml:space="preserve">Emissions Reduction Assurance Committee </w:t>
      </w:r>
      <w:r w:rsidR="00022E60" w:rsidRPr="005206CA">
        <w:t>secretariat support</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78E5758E" w14:textId="125F4D1C" w:rsidR="007E0199" w:rsidRDefault="00022E60" w:rsidP="00022E60">
      <w:pPr>
        <w:pStyle w:val="Normal170921"/>
        <w:rPr>
          <w:sz w:val="22"/>
        </w:rPr>
      </w:pPr>
      <w:r w:rsidRPr="005206CA">
        <w:rPr>
          <w:sz w:val="22"/>
        </w:rPr>
        <w:t xml:space="preserve">The </w:t>
      </w:r>
      <w:r w:rsidR="00F37384" w:rsidRPr="005206CA">
        <w:rPr>
          <w:sz w:val="22"/>
        </w:rPr>
        <w:t>Department</w:t>
      </w:r>
      <w:r w:rsidRPr="005206CA">
        <w:rPr>
          <w:sz w:val="22"/>
        </w:rPr>
        <w:t xml:space="preserve"> provides secretariat support to </w:t>
      </w:r>
      <w:r w:rsidR="006127D4" w:rsidRPr="005206CA">
        <w:rPr>
          <w:sz w:val="22"/>
        </w:rPr>
        <w:t>the</w:t>
      </w:r>
      <w:r w:rsidRPr="005206CA">
        <w:rPr>
          <w:sz w:val="22"/>
        </w:rPr>
        <w:t xml:space="preserve"> ERAC </w:t>
      </w:r>
      <w:r w:rsidR="007A009F" w:rsidRPr="005206CA">
        <w:rPr>
          <w:sz w:val="22"/>
        </w:rPr>
        <w:t>a</w:t>
      </w:r>
      <w:r w:rsidR="006C6ECC" w:rsidRPr="005206CA">
        <w:rPr>
          <w:sz w:val="22"/>
        </w:rPr>
        <w:t xml:space="preserve">s well as </w:t>
      </w:r>
      <w:r w:rsidRPr="005206CA">
        <w:rPr>
          <w:sz w:val="22"/>
        </w:rPr>
        <w:t>provid</w:t>
      </w:r>
      <w:r w:rsidR="006C6ECC" w:rsidRPr="005206CA">
        <w:rPr>
          <w:sz w:val="22"/>
        </w:rPr>
        <w:t>ing</w:t>
      </w:r>
      <w:r w:rsidR="007A009F" w:rsidRPr="005206CA">
        <w:rPr>
          <w:sz w:val="22"/>
        </w:rPr>
        <w:t xml:space="preserve"> </w:t>
      </w:r>
      <w:r w:rsidRPr="005206CA">
        <w:rPr>
          <w:sz w:val="22"/>
        </w:rPr>
        <w:t>advice on draft methods and method reviews. Currently accountability for the ERAC secretariat function sits with a part of the Department that is also responsible for method development. While there is no evidence that this has affected the independence of the ERAC secretariat, it could give rise to the perception of a conflict</w:t>
      </w:r>
      <w:r w:rsidR="001D1168">
        <w:rPr>
          <w:sz w:val="22"/>
        </w:rPr>
        <w:t xml:space="preserve"> of interest</w:t>
      </w:r>
      <w:r w:rsidRPr="005206CA">
        <w:rPr>
          <w:sz w:val="22"/>
        </w:rPr>
        <w:t xml:space="preserve">. The Authority recommends that </w:t>
      </w:r>
      <w:r w:rsidR="00AE3B53" w:rsidRPr="005206CA">
        <w:rPr>
          <w:sz w:val="22"/>
        </w:rPr>
        <w:t xml:space="preserve">senior executive </w:t>
      </w:r>
      <w:r w:rsidRPr="005206CA">
        <w:rPr>
          <w:sz w:val="22"/>
        </w:rPr>
        <w:t>accountability for the ERAC secretariat be segregated from method development.</w:t>
      </w:r>
    </w:p>
    <w:p w14:paraId="548DCE37" w14:textId="77777777" w:rsidR="007E0199" w:rsidRDefault="007E0199">
      <w:pPr>
        <w:spacing w:after="0" w:line="240" w:lineRule="auto"/>
      </w:pPr>
      <w:r>
        <w:br w:type="page"/>
      </w:r>
    </w:p>
    <w:tbl>
      <w:tblPr>
        <w:tblStyle w:val="TableGrid"/>
        <w:tblW w:w="0" w:type="auto"/>
        <w:shd w:val="clear" w:color="auto" w:fill="E6ECF2"/>
        <w:tblLook w:val="04A0" w:firstRow="1" w:lastRow="0" w:firstColumn="1" w:lastColumn="0" w:noHBand="0" w:noVBand="1"/>
      </w:tblPr>
      <w:tblGrid>
        <w:gridCol w:w="9202"/>
      </w:tblGrid>
      <w:tr w:rsidR="00022E60" w:rsidRPr="005206CA" w14:paraId="6FD9D847" w14:textId="77777777" w:rsidTr="00022E60">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15DBC14C" w14:textId="77777777" w:rsidR="00022E60" w:rsidRPr="005206CA" w:rsidRDefault="00022E60" w:rsidP="00022E60">
            <w:pPr>
              <w:rPr>
                <w:b/>
                <w:color w:val="159DCE"/>
                <w:sz w:val="18"/>
                <w:szCs w:val="18"/>
              </w:rPr>
            </w:pPr>
            <w:r w:rsidRPr="005206CA">
              <w:rPr>
                <w:b/>
                <w:color w:val="159DCE"/>
                <w:sz w:val="18"/>
                <w:szCs w:val="18"/>
              </w:rPr>
              <w:t>RECOMMENDATION</w:t>
            </w:r>
          </w:p>
          <w:p w14:paraId="2A934C10" w14:textId="36622B49" w:rsidR="00022E60" w:rsidRPr="005206CA" w:rsidRDefault="00022E60" w:rsidP="00AE3B53">
            <w:pPr>
              <w:spacing w:after="140" w:line="320" w:lineRule="exact"/>
              <w:ind w:left="851" w:hanging="851"/>
              <w:rPr>
                <w:sz w:val="18"/>
                <w:szCs w:val="18"/>
              </w:rPr>
            </w:pPr>
            <w:bookmarkStart w:id="420" w:name="_Ref497827513"/>
            <w:bookmarkStart w:id="421" w:name="_Toc497827427"/>
            <w:bookmarkStart w:id="422" w:name="_Toc497834063"/>
            <w:bookmarkStart w:id="423" w:name="_Toc498534515"/>
            <w:bookmarkStart w:id="424" w:name="_Toc498614710"/>
            <w:bookmarkStart w:id="425" w:name="_Toc498691465"/>
            <w:bookmarkStart w:id="426" w:name="_Toc499051664"/>
            <w:bookmarkStart w:id="427" w:name="_Toc499202049"/>
            <w:bookmarkStart w:id="428" w:name="_Toc499892333"/>
            <w:bookmarkStart w:id="429" w:name="_Toc499898693"/>
            <w:bookmarkStart w:id="430" w:name="_Toc499899333"/>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3</w:t>
            </w:r>
            <w:r w:rsidRPr="005206CA">
              <w:rPr>
                <w:rFonts w:cs="Arial"/>
                <w:sz w:val="18"/>
              </w:rPr>
              <w:fldChar w:fldCharType="end"/>
            </w:r>
            <w:bookmarkEnd w:id="420"/>
            <w:r w:rsidRPr="005206CA">
              <w:rPr>
                <w:rFonts w:cs="Arial"/>
                <w:sz w:val="18"/>
              </w:rPr>
              <w:t xml:space="preserve">. </w:t>
            </w:r>
            <w:r w:rsidRPr="005206CA">
              <w:rPr>
                <w:rFonts w:cs="Arial"/>
                <w:sz w:val="18"/>
              </w:rPr>
              <w:tab/>
            </w:r>
            <w:bookmarkStart w:id="431" w:name="_Ref500236674"/>
            <w:r w:rsidRPr="005206CA">
              <w:rPr>
                <w:sz w:val="18"/>
                <w:szCs w:val="18"/>
              </w:rPr>
              <w:t>S</w:t>
            </w:r>
            <w:r w:rsidR="00AE3B53" w:rsidRPr="005206CA">
              <w:rPr>
                <w:sz w:val="18"/>
                <w:szCs w:val="18"/>
              </w:rPr>
              <w:t xml:space="preserve">enior </w:t>
            </w:r>
            <w:r w:rsidR="00466562" w:rsidRPr="005206CA">
              <w:rPr>
                <w:sz w:val="18"/>
                <w:szCs w:val="18"/>
              </w:rPr>
              <w:t>e</w:t>
            </w:r>
            <w:r w:rsidR="00AE3B53" w:rsidRPr="005206CA">
              <w:rPr>
                <w:sz w:val="18"/>
                <w:szCs w:val="18"/>
              </w:rPr>
              <w:t xml:space="preserve">xecutive </w:t>
            </w:r>
            <w:r w:rsidRPr="005206CA">
              <w:rPr>
                <w:sz w:val="18"/>
                <w:szCs w:val="18"/>
              </w:rPr>
              <w:t>accountability for the 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A</w:t>
            </w:r>
            <w:r w:rsidR="00402F51" w:rsidRPr="005206CA">
              <w:rPr>
                <w:sz w:val="18"/>
                <w:szCs w:val="18"/>
              </w:rPr>
              <w:t xml:space="preserve">ssurance </w:t>
            </w:r>
            <w:r w:rsidRPr="005206CA">
              <w:rPr>
                <w:sz w:val="18"/>
                <w:szCs w:val="18"/>
              </w:rPr>
              <w:t>C</w:t>
            </w:r>
            <w:r w:rsidR="00402F51" w:rsidRPr="005206CA">
              <w:rPr>
                <w:sz w:val="18"/>
                <w:szCs w:val="18"/>
              </w:rPr>
              <w:t>ommittee</w:t>
            </w:r>
            <w:r w:rsidRPr="005206CA">
              <w:rPr>
                <w:sz w:val="18"/>
                <w:szCs w:val="18"/>
              </w:rPr>
              <w:t xml:space="preserve"> secretariat to be segregated from method development.</w:t>
            </w:r>
            <w:bookmarkEnd w:id="421"/>
            <w:bookmarkEnd w:id="422"/>
            <w:bookmarkEnd w:id="423"/>
            <w:bookmarkEnd w:id="424"/>
            <w:bookmarkEnd w:id="425"/>
            <w:bookmarkEnd w:id="426"/>
            <w:bookmarkEnd w:id="427"/>
            <w:bookmarkEnd w:id="428"/>
            <w:bookmarkEnd w:id="429"/>
            <w:bookmarkEnd w:id="430"/>
            <w:bookmarkEnd w:id="431"/>
          </w:p>
        </w:tc>
      </w:tr>
    </w:tbl>
    <w:p w14:paraId="7A3C0266" w14:textId="77777777" w:rsidR="007E0199" w:rsidRDefault="007E0199" w:rsidP="00BF0516">
      <w:bookmarkStart w:id="432" w:name="_Toc494905115"/>
      <w:bookmarkStart w:id="433" w:name="_Toc497819465"/>
      <w:bookmarkStart w:id="434" w:name="_Toc498691531"/>
      <w:bookmarkStart w:id="435" w:name="_Toc499043713"/>
      <w:bookmarkStart w:id="436" w:name="_Toc499051738"/>
      <w:bookmarkStart w:id="437" w:name="_Toc500251088"/>
      <w:bookmarkStart w:id="438" w:name="_Toc500251363"/>
      <w:bookmarkStart w:id="439" w:name="_Toc500253960"/>
    </w:p>
    <w:p w14:paraId="134B0D2A" w14:textId="77777777" w:rsidR="00022E60" w:rsidRPr="005206CA" w:rsidRDefault="00022E60">
      <w:pPr>
        <w:pStyle w:val="Heading2"/>
      </w:pPr>
      <w:bookmarkStart w:id="440" w:name="_Toc500401467"/>
      <w:bookmarkStart w:id="441" w:name="_Toc500490952"/>
      <w:bookmarkStart w:id="442" w:name="_Toc500512894"/>
      <w:bookmarkStart w:id="443" w:name="_Toc500514149"/>
      <w:bookmarkStart w:id="444" w:name="_Toc500516206"/>
      <w:r w:rsidRPr="005206CA">
        <w:t>Incentives to change methods</w:t>
      </w:r>
      <w:bookmarkEnd w:id="432"/>
      <w:bookmarkEnd w:id="433"/>
      <w:bookmarkEnd w:id="434"/>
      <w:bookmarkEnd w:id="435"/>
      <w:bookmarkEnd w:id="436"/>
      <w:bookmarkEnd w:id="437"/>
      <w:bookmarkEnd w:id="438"/>
      <w:bookmarkEnd w:id="439"/>
      <w:bookmarkEnd w:id="440"/>
      <w:bookmarkEnd w:id="441"/>
      <w:bookmarkEnd w:id="442"/>
      <w:bookmarkEnd w:id="443"/>
      <w:bookmarkEnd w:id="444"/>
      <w:r w:rsidRPr="005206CA">
        <w:t xml:space="preserve"> </w:t>
      </w:r>
    </w:p>
    <w:p w14:paraId="4144B0FE" w14:textId="6139C0E4" w:rsidR="00022E60" w:rsidRPr="005206CA" w:rsidRDefault="00022E60" w:rsidP="00022E60">
      <w:r w:rsidRPr="005206CA">
        <w:t>Under the CFI</w:t>
      </w:r>
      <w:r w:rsidR="003376C4">
        <w:t>,</w:t>
      </w:r>
      <w:r w:rsidRPr="005206CA">
        <w:t xml:space="preserve"> a given method </w:t>
      </w:r>
      <w:r w:rsidR="00B36234" w:rsidRPr="005206CA">
        <w:t>is</w:t>
      </w:r>
      <w:r w:rsidRPr="005206CA">
        <w:t xml:space="preserve"> applied to a project and its abatement for the life of a crediting period. This feature was intended to give investment certainty to scheme participants and carried over into the ERF crediting period rules. Under the ERF, a crediting period is </w:t>
      </w:r>
      <w:r w:rsidR="0006626D">
        <w:t>7 </w:t>
      </w:r>
      <w:r w:rsidRPr="005206CA">
        <w:t xml:space="preserve">years (for most emissions avoidance projects) or up to 25 years, for sequestration and savanna burning projects. Even if the method itself is varied and updated, the project retains the original method’s rules unless the </w:t>
      </w:r>
      <w:r w:rsidR="006517B3">
        <w:t>scheme</w:t>
      </w:r>
      <w:r w:rsidR="006517B3" w:rsidRPr="005206CA">
        <w:t xml:space="preserve"> </w:t>
      </w:r>
      <w:r w:rsidRPr="005206CA">
        <w:t>participant applies to the CER to change to a varied method. Scheme participants are unlikely to do so before the end of a crediting period if the varied method provides them with fewer ACCUs and less financial return.</w:t>
      </w:r>
    </w:p>
    <w:p w14:paraId="0346C49D" w14:textId="7FA9C304" w:rsidR="00022E60" w:rsidRPr="005206CA" w:rsidRDefault="00022E60" w:rsidP="00022E60">
      <w:r w:rsidRPr="005206CA">
        <w:t xml:space="preserve">The ERF and CFI design always envisaged that methods would need to change and evolve over time with developments in estimation techniques, the science underpinning abatement (particularly for the land sector with its natural systems and their inherent variability) and, with respect to additionality, in light of changes in technologies and practices. The challenge is how best to strike a balance between the need for continuous improvements in the methods (so as to maintain the environmental integrity of the projects they cover) and providing a degree of certainty for </w:t>
      </w:r>
      <w:r w:rsidR="006517B3">
        <w:t>scheme</w:t>
      </w:r>
      <w:r w:rsidR="006517B3" w:rsidRPr="005206CA">
        <w:t xml:space="preserve"> </w:t>
      </w:r>
      <w:r w:rsidRPr="005206CA">
        <w:t xml:space="preserve">participants. </w:t>
      </w:r>
    </w:p>
    <w:p w14:paraId="4CF16153" w14:textId="77777777" w:rsidR="00022E60" w:rsidRPr="005206CA" w:rsidRDefault="00022E60" w:rsidP="00022E60">
      <w:r w:rsidRPr="005206CA">
        <w:t xml:space="preserve">The Authority is concerned that 25 years is a long time to allow projects to keep generating ACCUs if a problem is identified with a method. </w:t>
      </w:r>
    </w:p>
    <w:p w14:paraId="019657F9" w14:textId="00DA1C8C" w:rsidR="00022E60" w:rsidRPr="005206CA" w:rsidRDefault="00022E60" w:rsidP="005A7522">
      <w:r w:rsidRPr="005206CA">
        <w:t>Methods are developed by the</w:t>
      </w:r>
      <w:r w:rsidR="0006626D">
        <w:t xml:space="preserve"> Australian</w:t>
      </w:r>
      <w:r w:rsidRPr="005206CA">
        <w:t xml:space="preserve"> </w:t>
      </w:r>
      <w:r w:rsidR="006127D4" w:rsidRPr="005206CA">
        <w:t>G</w:t>
      </w:r>
      <w:r w:rsidRPr="005206CA">
        <w:t>overnment and it could be argued that the Government should bear the risk if a project delivers abatement from a method that has been superseded. The Authority is of the view, however, that scheme participants should share some of this risk given that maintaining scheme integrity provides value to all scheme participants. Recognising the importance of allowing lead-in times for scheme participants to adjust to changed conditions, the Authority recommends that if a variation to a method is made, existing ERF scheme participants must move to the new method within two years of the variation coming into force.</w:t>
      </w:r>
      <w:r w:rsidR="0096341B" w:rsidRPr="005206CA">
        <w:t xml:space="preserve"> This new requirement could reduce the volume of abatement that can be generated from some ERF projects but the Authority considers this reduction </w:t>
      </w:r>
      <w:r w:rsidR="00E813AD" w:rsidRPr="005206CA">
        <w:t xml:space="preserve">in abatement </w:t>
      </w:r>
      <w:r w:rsidR="00DB13D9" w:rsidRPr="005206CA">
        <w:t>is outweighed</w:t>
      </w:r>
      <w:r w:rsidR="00E813AD" w:rsidRPr="005206CA">
        <w:t xml:space="preserve"> by improving the integrity of the scheme.</w:t>
      </w:r>
    </w:p>
    <w:p w14:paraId="304F52FA" w14:textId="3EB8C886" w:rsidR="00022E60" w:rsidRPr="005206CA" w:rsidRDefault="00022E60">
      <w:pPr>
        <w:pStyle w:val="Heading2"/>
      </w:pPr>
      <w:bookmarkStart w:id="445" w:name="_Toc494905116"/>
      <w:bookmarkStart w:id="446" w:name="_Toc497819466"/>
      <w:bookmarkStart w:id="447" w:name="_Toc498691532"/>
      <w:bookmarkStart w:id="448" w:name="_Toc499043714"/>
      <w:bookmarkStart w:id="449" w:name="_Toc499051739"/>
      <w:bookmarkStart w:id="450" w:name="_Toc500251089"/>
      <w:bookmarkStart w:id="451" w:name="_Toc500251364"/>
      <w:bookmarkStart w:id="452" w:name="_Toc500253961"/>
      <w:bookmarkStart w:id="453" w:name="_Toc500401468"/>
      <w:bookmarkStart w:id="454" w:name="_Toc500490953"/>
      <w:bookmarkStart w:id="455" w:name="_Toc500512895"/>
      <w:bookmarkStart w:id="456" w:name="_Toc500514150"/>
      <w:bookmarkStart w:id="457" w:name="_Toc500516207"/>
      <w:r w:rsidRPr="005206CA">
        <w:t>Estimation factors and tools</w:t>
      </w:r>
      <w:bookmarkEnd w:id="445"/>
      <w:bookmarkEnd w:id="446"/>
      <w:bookmarkEnd w:id="447"/>
      <w:bookmarkEnd w:id="448"/>
      <w:bookmarkEnd w:id="449"/>
      <w:bookmarkEnd w:id="450"/>
      <w:bookmarkEnd w:id="451"/>
      <w:bookmarkEnd w:id="452"/>
      <w:bookmarkEnd w:id="453"/>
      <w:bookmarkEnd w:id="454"/>
      <w:bookmarkEnd w:id="455"/>
      <w:bookmarkEnd w:id="456"/>
      <w:bookmarkEnd w:id="457"/>
    </w:p>
    <w:p w14:paraId="6E2F10C4" w14:textId="091C2931" w:rsidR="00022E60" w:rsidRPr="005206CA" w:rsidRDefault="00022E60" w:rsidP="00022E60">
      <w:r w:rsidRPr="005206CA">
        <w:t>Methods are based on abatement that is reflected in the national inventory, and emissions estimation approaches used to calculate abatement in the inventory are regularly updated in line with international best practice through the United Nation</w:t>
      </w:r>
      <w:r w:rsidR="00B36234" w:rsidRPr="005206CA">
        <w:t>’</w:t>
      </w:r>
      <w:r w:rsidRPr="005206CA">
        <w:t xml:space="preserve">s </w:t>
      </w:r>
      <w:r w:rsidRPr="005206CA">
        <w:rPr>
          <w:rFonts w:cs="Arial"/>
          <w:color w:val="222222"/>
        </w:rPr>
        <w:t>Intergovernmental Panel on Climate Change</w:t>
      </w:r>
      <w:r w:rsidR="00196707" w:rsidRPr="005206CA">
        <w:rPr>
          <w:rFonts w:cs="Arial"/>
          <w:color w:val="222222"/>
        </w:rPr>
        <w:t xml:space="preserve"> (</w:t>
      </w:r>
      <w:r w:rsidR="00196707" w:rsidRPr="005206CA">
        <w:rPr>
          <w:rStyle w:val="In-textChar"/>
        </w:rPr>
        <w:t>DoEE 2017</w:t>
      </w:r>
      <w:r w:rsidR="00E14E3C" w:rsidRPr="005206CA">
        <w:rPr>
          <w:rStyle w:val="In-textChar"/>
        </w:rPr>
        <w:t>f</w:t>
      </w:r>
      <w:r w:rsidR="00CD2C47">
        <w:rPr>
          <w:rStyle w:val="In-textChar"/>
        </w:rPr>
        <w:t>; DoEE 2017</w:t>
      </w:r>
      <w:r w:rsidR="00E14E3C" w:rsidRPr="005206CA">
        <w:rPr>
          <w:rStyle w:val="In-textChar"/>
        </w:rPr>
        <w:t>g</w:t>
      </w:r>
      <w:r w:rsidR="00196707" w:rsidRPr="005206CA">
        <w:rPr>
          <w:rFonts w:cs="Arial"/>
          <w:color w:val="222222"/>
        </w:rPr>
        <w:t>)</w:t>
      </w:r>
      <w:r w:rsidRPr="005206CA">
        <w:t>.</w:t>
      </w:r>
    </w:p>
    <w:p w14:paraId="1EA32824" w14:textId="0B0E991F" w:rsidR="00022E60" w:rsidRPr="005206CA" w:rsidRDefault="00022E60" w:rsidP="00022E60">
      <w:r w:rsidRPr="005206CA">
        <w:rPr>
          <w:rFonts w:cs="Arial"/>
          <w:color w:val="000000" w:themeColor="text1"/>
        </w:rPr>
        <w:t xml:space="preserve">A number of methods embed these approaches in tools that are used to quantify emissions reductions. In most cases, these tools are developed and administered by the Department </w:t>
      </w:r>
      <w:r w:rsidR="00E31D17" w:rsidRPr="005206CA">
        <w:rPr>
          <w:rFonts w:cs="Arial"/>
          <w:color w:val="000000" w:themeColor="text1"/>
        </w:rPr>
        <w:t xml:space="preserve">although </w:t>
      </w:r>
      <w:r w:rsidRPr="005206CA">
        <w:rPr>
          <w:rFonts w:cs="Arial"/>
          <w:color w:val="000000" w:themeColor="text1"/>
        </w:rPr>
        <w:t>some are owned</w:t>
      </w:r>
      <w:r w:rsidR="002763E4" w:rsidRPr="005206CA">
        <w:rPr>
          <w:rFonts w:cs="Arial"/>
          <w:color w:val="000000" w:themeColor="text1"/>
        </w:rPr>
        <w:t xml:space="preserve"> or hosted</w:t>
      </w:r>
      <w:r w:rsidRPr="005206CA">
        <w:rPr>
          <w:rFonts w:cs="Arial"/>
          <w:color w:val="000000" w:themeColor="text1"/>
        </w:rPr>
        <w:t xml:space="preserve"> by academic institutions or state governments</w:t>
      </w:r>
      <w:r w:rsidR="00E31D17" w:rsidRPr="005206CA">
        <w:rPr>
          <w:rFonts w:cs="Arial"/>
          <w:color w:val="000000" w:themeColor="text1"/>
        </w:rPr>
        <w:t>. I</w:t>
      </w:r>
      <w:r w:rsidRPr="005206CA">
        <w:rPr>
          <w:rFonts w:cs="Arial"/>
          <w:color w:val="000000" w:themeColor="text1"/>
        </w:rPr>
        <w:t xml:space="preserve">n all cases, </w:t>
      </w:r>
      <w:r w:rsidR="001A3D97" w:rsidRPr="005206CA">
        <w:rPr>
          <w:rFonts w:cs="Arial"/>
          <w:color w:val="000000" w:themeColor="text1"/>
        </w:rPr>
        <w:t xml:space="preserve">they </w:t>
      </w:r>
      <w:r w:rsidRPr="005206CA">
        <w:rPr>
          <w:rFonts w:cs="Arial"/>
          <w:color w:val="000000" w:themeColor="text1"/>
        </w:rPr>
        <w:t>are made available to scheme participants free of charge. One of the purposes of these tools is to make the method easier to use and ensure more accurate abatement estimation.</w:t>
      </w:r>
    </w:p>
    <w:p w14:paraId="7447A725" w14:textId="77777777" w:rsidR="00022E60" w:rsidRPr="005206CA" w:rsidRDefault="00022E60" w:rsidP="00022E60">
      <w:r w:rsidRPr="005206CA">
        <w:t>It is important that estimation tools and other approaches used in methods are updated at the same time they are updated in the national inventory processes. This will reduce the risk that abatement credited under the ERF is not reflected in the national inventory and therefore does not contribute to Australia’s target.</w:t>
      </w:r>
    </w:p>
    <w:p w14:paraId="7BE42DE0" w14:textId="1EC42013" w:rsidR="00022E60" w:rsidRPr="005206CA" w:rsidRDefault="00022E60" w:rsidP="00022E60">
      <w:r w:rsidRPr="005206CA">
        <w:t xml:space="preserve">In the earlier CFI methods, estimation approaches </w:t>
      </w:r>
      <w:r w:rsidR="00E31D17" w:rsidRPr="005206CA">
        <w:t xml:space="preserve">were </w:t>
      </w:r>
      <w:r w:rsidRPr="005206CA">
        <w:t>fixed for the life of the method</w:t>
      </w:r>
      <w:r w:rsidR="00E31D17" w:rsidRPr="005206CA">
        <w:t xml:space="preserve"> in the method themselves</w:t>
      </w:r>
      <w:r w:rsidRPr="005206CA">
        <w:t xml:space="preserve">, irrespective of whether </w:t>
      </w:r>
      <w:r w:rsidR="00E31D17" w:rsidRPr="005206CA">
        <w:t xml:space="preserve">the approach to estimation </w:t>
      </w:r>
      <w:r w:rsidRPr="005206CA">
        <w:t>changed in the national inventory. Some later methods refer instead to whatever version</w:t>
      </w:r>
      <w:r w:rsidR="00E31D17" w:rsidRPr="005206CA">
        <w:t xml:space="preserve"> of the estimation tool or approach</w:t>
      </w:r>
      <w:r w:rsidRPr="005206CA">
        <w:t xml:space="preserve"> is current in the inventory (noting that it is updated from time to time). More recently, the Department has issued separate </w:t>
      </w:r>
      <w:r w:rsidR="00E31D17" w:rsidRPr="005206CA">
        <w:t xml:space="preserve">non-legislative </w:t>
      </w:r>
      <w:r w:rsidRPr="005206CA">
        <w:t xml:space="preserve">guidance that sits alongside the methods to govern ERF project abatement. This guidance can be </w:t>
      </w:r>
      <w:r w:rsidR="00E31D17" w:rsidRPr="005206CA">
        <w:t xml:space="preserve">updated by the Department </w:t>
      </w:r>
      <w:r w:rsidRPr="005206CA">
        <w:t>in line with improvements in estimation approaches. This means that changes can be made to bring methods in-step with the inventory without a varied method being made</w:t>
      </w:r>
      <w:r w:rsidR="00E31D17" w:rsidRPr="005206CA">
        <w:t xml:space="preserve"> by the Minister</w:t>
      </w:r>
      <w:r w:rsidRPr="005206CA">
        <w:t xml:space="preserve">. The Authority supports the ongoing work in the </w:t>
      </w:r>
      <w:r w:rsidR="00F37384" w:rsidRPr="005206CA">
        <w:t>Department</w:t>
      </w:r>
      <w:r w:rsidRPr="005206CA">
        <w:t xml:space="preserve"> and CER to assess the effectiveness of tools available</w:t>
      </w:r>
      <w:r w:rsidR="00E31D17" w:rsidRPr="005206CA">
        <w:t>,</w:t>
      </w:r>
      <w:r w:rsidRPr="005206CA">
        <w:t xml:space="preserve"> and </w:t>
      </w:r>
      <w:r w:rsidR="007E2925" w:rsidRPr="005206CA">
        <w:t xml:space="preserve">possible </w:t>
      </w:r>
      <w:r w:rsidRPr="005206CA">
        <w:t>improvement</w:t>
      </w:r>
      <w:r w:rsidR="005B2ADF" w:rsidRPr="005206CA">
        <w:t>s</w:t>
      </w:r>
      <w:r w:rsidR="007E2925" w:rsidRPr="005206CA">
        <w:t>.</w:t>
      </w:r>
    </w:p>
    <w:p w14:paraId="7BC0D8E4" w14:textId="1864E6D7" w:rsidR="00022E60" w:rsidRPr="005206CA" w:rsidRDefault="00022E60" w:rsidP="00022E60">
      <w:r w:rsidRPr="005206CA">
        <w:t xml:space="preserve">At present however the Department </w:t>
      </w:r>
      <w:r w:rsidR="007A009F" w:rsidRPr="005206CA">
        <w:t xml:space="preserve">is </w:t>
      </w:r>
      <w:r w:rsidRPr="005206CA">
        <w:t xml:space="preserve">required to maintain out-dated versions of estimation tools where projects using older methods rely on them to estimate abatement. </w:t>
      </w:r>
      <w:r w:rsidR="0096341B" w:rsidRPr="005206CA">
        <w:t xml:space="preserve">Maintaining these out of date tools is </w:t>
      </w:r>
      <w:r w:rsidRPr="005206CA">
        <w:t xml:space="preserve">resource intensive for the Government and </w:t>
      </w:r>
      <w:r w:rsidR="0096341B" w:rsidRPr="005206CA">
        <w:t xml:space="preserve">abatement estimated by them may </w:t>
      </w:r>
      <w:r w:rsidRPr="005206CA">
        <w:t>not be eligible for inclusion in the inventory</w:t>
      </w:r>
      <w:r w:rsidR="0096341B" w:rsidRPr="005206CA">
        <w:t xml:space="preserve"> or used to meet Australia’s Paris </w:t>
      </w:r>
      <w:r w:rsidR="00F542C7">
        <w:t xml:space="preserve">Agreement </w:t>
      </w:r>
      <w:r w:rsidR="007A009F" w:rsidRPr="005206CA">
        <w:t xml:space="preserve">emissions reduction </w:t>
      </w:r>
      <w:r w:rsidR="0096341B" w:rsidRPr="005206CA">
        <w:t xml:space="preserve">targets. </w:t>
      </w:r>
      <w:r w:rsidR="007E77DB" w:rsidRPr="005206CA">
        <w:t xml:space="preserve">The Authority considers that methods with outdated tools should be varied by the Minister to require the covered projects to transition onto varied methods, which refer to the Department’s guidance, requiring the projects to use the most current estimation tools and approaches. </w:t>
      </w:r>
    </w:p>
    <w:tbl>
      <w:tblPr>
        <w:tblStyle w:val="TableGrid"/>
        <w:tblW w:w="0" w:type="auto"/>
        <w:shd w:val="clear" w:color="auto" w:fill="E6ECF2"/>
        <w:tblLook w:val="04A0" w:firstRow="1" w:lastRow="0" w:firstColumn="1" w:lastColumn="0" w:noHBand="0" w:noVBand="1"/>
      </w:tblPr>
      <w:tblGrid>
        <w:gridCol w:w="9202"/>
      </w:tblGrid>
      <w:tr w:rsidR="00022E60" w:rsidRPr="005206CA" w14:paraId="2420CA67" w14:textId="77777777" w:rsidTr="00022E60">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304DA009" w14:textId="77777777" w:rsidR="00022E60" w:rsidRPr="005206CA" w:rsidRDefault="00022E60" w:rsidP="00022E60">
            <w:pPr>
              <w:rPr>
                <w:b/>
                <w:color w:val="159DCE"/>
                <w:sz w:val="18"/>
                <w:szCs w:val="18"/>
              </w:rPr>
            </w:pPr>
            <w:r w:rsidRPr="005206CA">
              <w:rPr>
                <w:b/>
                <w:color w:val="159DCE"/>
                <w:sz w:val="18"/>
                <w:szCs w:val="18"/>
              </w:rPr>
              <w:t>RECOMMENDATION</w:t>
            </w:r>
          </w:p>
          <w:p w14:paraId="2D0140D4" w14:textId="71F875C2" w:rsidR="00022E60" w:rsidRPr="005206CA" w:rsidRDefault="00022E60" w:rsidP="00B2456B">
            <w:pPr>
              <w:spacing w:after="140" w:line="320" w:lineRule="exact"/>
              <w:ind w:left="851" w:hanging="851"/>
              <w:rPr>
                <w:sz w:val="18"/>
                <w:szCs w:val="18"/>
              </w:rPr>
            </w:pPr>
            <w:bookmarkStart w:id="458" w:name="_Ref497827523"/>
            <w:bookmarkStart w:id="459" w:name="R4"/>
            <w:bookmarkStart w:id="460" w:name="_Toc497827429"/>
            <w:bookmarkStart w:id="461" w:name="_Toc497834065"/>
            <w:bookmarkStart w:id="462" w:name="_Toc498534516"/>
            <w:bookmarkStart w:id="463" w:name="_Toc498614711"/>
            <w:bookmarkStart w:id="464" w:name="_Toc498691466"/>
            <w:bookmarkStart w:id="465" w:name="_Toc499051665"/>
            <w:bookmarkStart w:id="466" w:name="_Toc499202050"/>
            <w:bookmarkStart w:id="467" w:name="_Toc499892334"/>
            <w:bookmarkStart w:id="468" w:name="_Toc499898694"/>
            <w:bookmarkStart w:id="469" w:name="_Toc499899334"/>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4</w:t>
            </w:r>
            <w:r w:rsidRPr="005206CA">
              <w:rPr>
                <w:rFonts w:cs="Arial"/>
                <w:sz w:val="18"/>
              </w:rPr>
              <w:fldChar w:fldCharType="end"/>
            </w:r>
            <w:bookmarkEnd w:id="458"/>
            <w:r w:rsidRPr="005206CA">
              <w:rPr>
                <w:rFonts w:cs="Arial"/>
                <w:sz w:val="18"/>
              </w:rPr>
              <w:t xml:space="preserve">. </w:t>
            </w:r>
            <w:bookmarkEnd w:id="459"/>
            <w:r w:rsidRPr="005206CA">
              <w:rPr>
                <w:rFonts w:cs="Arial"/>
                <w:sz w:val="18"/>
              </w:rPr>
              <w:tab/>
            </w:r>
            <w:bookmarkStart w:id="470" w:name="_Ref500236678"/>
            <w:r w:rsidR="00AE3B53" w:rsidRPr="00AC7279">
              <w:rPr>
                <w:sz w:val="18"/>
                <w:szCs w:val="18"/>
                <w:lang w:val="en-US"/>
              </w:rPr>
              <w:t>The Minister</w:t>
            </w:r>
            <w:r w:rsidR="00AE3B53" w:rsidRPr="00AC7279" w:rsidDel="00B72252">
              <w:rPr>
                <w:sz w:val="18"/>
                <w:szCs w:val="18"/>
                <w:lang w:val="en-US"/>
              </w:rPr>
              <w:t xml:space="preserve"> </w:t>
            </w:r>
            <w:r w:rsidR="00AE3B53" w:rsidRPr="00AC7279">
              <w:rPr>
                <w:sz w:val="18"/>
                <w:szCs w:val="18"/>
                <w:lang w:val="en-US"/>
              </w:rPr>
              <w:t>make improvements to methods (in the form of variations) to maintain their alignment with the E</w:t>
            </w:r>
            <w:r w:rsidR="00402F51" w:rsidRPr="00AC7279">
              <w:rPr>
                <w:sz w:val="18"/>
                <w:szCs w:val="18"/>
                <w:lang w:val="en-US"/>
              </w:rPr>
              <w:t xml:space="preserve">missions </w:t>
            </w:r>
            <w:r w:rsidR="00AE3B53" w:rsidRPr="00AC7279">
              <w:rPr>
                <w:sz w:val="18"/>
                <w:szCs w:val="18"/>
                <w:lang w:val="en-US"/>
              </w:rPr>
              <w:t>R</w:t>
            </w:r>
            <w:r w:rsidR="00402F51" w:rsidRPr="00AC7279">
              <w:rPr>
                <w:sz w:val="18"/>
                <w:szCs w:val="18"/>
                <w:lang w:val="en-US"/>
              </w:rPr>
              <w:t xml:space="preserve">eduction </w:t>
            </w:r>
            <w:r w:rsidR="00AE3B53" w:rsidRPr="00AC7279">
              <w:rPr>
                <w:sz w:val="18"/>
                <w:szCs w:val="18"/>
                <w:lang w:val="en-US"/>
              </w:rPr>
              <w:t>F</w:t>
            </w:r>
            <w:r w:rsidR="00402F51" w:rsidRPr="00AC7279">
              <w:rPr>
                <w:sz w:val="18"/>
                <w:szCs w:val="18"/>
                <w:lang w:val="en-US"/>
              </w:rPr>
              <w:t>und</w:t>
            </w:r>
            <w:r w:rsidR="00AE3B53" w:rsidRPr="00AC7279">
              <w:rPr>
                <w:sz w:val="18"/>
                <w:szCs w:val="18"/>
                <w:lang w:val="en-US"/>
              </w:rPr>
              <w:t>’s offsets integrity standards</w:t>
            </w:r>
            <w:r w:rsidR="006C6ECC" w:rsidRPr="00AC7279">
              <w:rPr>
                <w:sz w:val="18"/>
                <w:szCs w:val="18"/>
                <w:lang w:val="en-US"/>
              </w:rPr>
              <w:t xml:space="preserve">. </w:t>
            </w:r>
            <w:r w:rsidR="00B2456B" w:rsidRPr="00AC7279">
              <w:rPr>
                <w:sz w:val="18"/>
                <w:szCs w:val="18"/>
                <w:lang w:val="en-US"/>
              </w:rPr>
              <w:t xml:space="preserve">Variations should incorporate guidance on </w:t>
            </w:r>
            <w:r w:rsidR="00AE3B53" w:rsidRPr="00AC7279">
              <w:rPr>
                <w:sz w:val="18"/>
                <w:szCs w:val="18"/>
                <w:lang w:val="en-US"/>
              </w:rPr>
              <w:t>the most current emissions estimation techniques, tools and calculators including those used for the national inventory. Scheme participants must use the varied method and updated tools within two years of the varied method coming into force.</w:t>
            </w:r>
            <w:bookmarkEnd w:id="460"/>
            <w:bookmarkEnd w:id="461"/>
            <w:bookmarkEnd w:id="462"/>
            <w:bookmarkEnd w:id="463"/>
            <w:bookmarkEnd w:id="464"/>
            <w:bookmarkEnd w:id="465"/>
            <w:bookmarkEnd w:id="466"/>
            <w:bookmarkEnd w:id="467"/>
            <w:bookmarkEnd w:id="468"/>
            <w:bookmarkEnd w:id="469"/>
            <w:bookmarkEnd w:id="470"/>
          </w:p>
        </w:tc>
      </w:tr>
    </w:tbl>
    <w:p w14:paraId="19018C8A" w14:textId="77777777" w:rsidR="00022E60" w:rsidRPr="005206CA" w:rsidRDefault="00022E60" w:rsidP="00022E60"/>
    <w:p w14:paraId="6B7949AB" w14:textId="77777777" w:rsidR="00120927" w:rsidRPr="005206CA" w:rsidRDefault="008D1F43" w:rsidP="002662CD">
      <w:pPr>
        <w:pStyle w:val="Heading1"/>
        <w:numPr>
          <w:ilvl w:val="0"/>
          <w:numId w:val="44"/>
        </w:numPr>
      </w:pPr>
      <w:bookmarkStart w:id="471" w:name="_Toc497819467"/>
      <w:bookmarkStart w:id="472" w:name="_Toc498691533"/>
      <w:bookmarkStart w:id="473" w:name="_Toc499043715"/>
      <w:bookmarkStart w:id="474" w:name="_Toc499051740"/>
      <w:bookmarkStart w:id="475" w:name="_Ref500244929"/>
      <w:bookmarkStart w:id="476" w:name="_Ref500245957"/>
      <w:bookmarkStart w:id="477" w:name="_Toc500251090"/>
      <w:bookmarkStart w:id="478" w:name="_Toc500251365"/>
      <w:bookmarkStart w:id="479" w:name="_Toc500253962"/>
      <w:bookmarkStart w:id="480" w:name="_Toc500401469"/>
      <w:bookmarkStart w:id="481" w:name="_Toc500490954"/>
      <w:bookmarkStart w:id="482" w:name="_Toc500512896"/>
      <w:bookmarkStart w:id="483" w:name="_Toc500514151"/>
      <w:bookmarkStart w:id="484" w:name="_Toc500516208"/>
      <w:r w:rsidRPr="005206CA">
        <w:t>Additionality</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270C2686" w14:textId="421ED791" w:rsidR="008D1F43" w:rsidRPr="005206CA" w:rsidRDefault="008D1F43" w:rsidP="008D1F43">
      <w:r w:rsidRPr="005206CA">
        <w:t xml:space="preserve">Additionality is a key element in ensuring environmental integrity in all offset schemes and necessarily involves judgement and trade-offs. To be additional, offset projects must deliver emissions reductions in response to the </w:t>
      </w:r>
      <w:r w:rsidR="006749FD" w:rsidRPr="005206CA">
        <w:t>Emissions Reduction Fund (</w:t>
      </w:r>
      <w:r w:rsidRPr="005206CA">
        <w:t>ERF</w:t>
      </w:r>
      <w:r w:rsidR="006749FD" w:rsidRPr="005206CA">
        <w:t>)</w:t>
      </w:r>
      <w:r w:rsidRPr="005206CA">
        <w:t xml:space="preserve"> incentive rather than as a result of business as usual (</w:t>
      </w:r>
      <w:r w:rsidRPr="005206CA">
        <w:fldChar w:fldCharType="begin"/>
      </w:r>
      <w:r w:rsidRPr="005206CA">
        <w:instrText xml:space="preserve"> REF _Ref494457135 \h </w:instrText>
      </w:r>
      <w:r w:rsidR="0002132E" w:rsidRPr="005206CA">
        <w:instrText xml:space="preserve"> \* MERGEFORMAT </w:instrText>
      </w:r>
      <w:r w:rsidRPr="005206CA">
        <w:fldChar w:fldCharType="separate"/>
      </w:r>
      <w:r w:rsidR="00FA2002" w:rsidRPr="005206CA">
        <w:t xml:space="preserve">Box </w:t>
      </w:r>
      <w:r w:rsidR="00FA2002">
        <w:rPr>
          <w:noProof/>
        </w:rPr>
        <w:t>1</w:t>
      </w:r>
      <w:r w:rsidRPr="005206CA">
        <w:fldChar w:fldCharType="end"/>
      </w:r>
      <w:r w:rsidRPr="005206CA">
        <w:t xml:space="preserve">). Where additionality requirements are too rigid, the scheme may miss out on some abatement that is genuinely additional. If the additionality requirements are too lax, then the ERF will not receive value for money and the Government may need to take alternative action to find the emissions reductions it needs to meet </w:t>
      </w:r>
      <w:r w:rsidR="0096341B" w:rsidRPr="005206CA">
        <w:t xml:space="preserve">Australia’s </w:t>
      </w:r>
      <w:r w:rsidRPr="005206CA">
        <w:t>international targets.</w:t>
      </w:r>
    </w:p>
    <w:tbl>
      <w:tblPr>
        <w:tblStyle w:val="TableGrid"/>
        <w:tblW w:w="0" w:type="auto"/>
        <w:tblLook w:val="04A0" w:firstRow="1" w:lastRow="0" w:firstColumn="1" w:lastColumn="0" w:noHBand="0" w:noVBand="1"/>
      </w:tblPr>
      <w:tblGrid>
        <w:gridCol w:w="9202"/>
      </w:tblGrid>
      <w:tr w:rsidR="008D1F43" w:rsidRPr="005206CA" w14:paraId="6D727CB7" w14:textId="77777777" w:rsidTr="0033387E">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tcPr>
          <w:p w14:paraId="182EB0D5" w14:textId="77777777" w:rsidR="008D1F43" w:rsidRPr="005206CA" w:rsidRDefault="008D1F43" w:rsidP="008D1F43">
            <w:pPr>
              <w:pStyle w:val="CCAFigure"/>
            </w:pPr>
            <w:bookmarkStart w:id="485" w:name="_Ref494457135"/>
            <w:bookmarkStart w:id="486" w:name="_Toc494904855"/>
            <w:bookmarkStart w:id="487" w:name="_Toc497819442"/>
            <w:bookmarkStart w:id="488" w:name="_Toc498691488"/>
            <w:bookmarkStart w:id="489" w:name="_Toc499051687"/>
            <w:bookmarkStart w:id="490" w:name="_Toc500251035"/>
            <w:bookmarkStart w:id="491" w:name="_Toc500251310"/>
            <w:bookmarkStart w:id="492" w:name="_Toc500253907"/>
            <w:bookmarkStart w:id="493" w:name="_Toc500490898"/>
            <w:bookmarkStart w:id="494" w:name="_Toc500513631"/>
            <w:bookmarkStart w:id="495" w:name="_Toc500516152"/>
            <w:r w:rsidRPr="005206CA">
              <w:t xml:space="preserve">Box </w:t>
            </w:r>
            <w:r w:rsidR="00FA2002">
              <w:fldChar w:fldCharType="begin"/>
            </w:r>
            <w:r w:rsidR="00FA2002">
              <w:instrText xml:space="preserve"> SEQ Box \* ARABIC </w:instrText>
            </w:r>
            <w:r w:rsidR="00FA2002">
              <w:fldChar w:fldCharType="separate"/>
            </w:r>
            <w:r w:rsidR="00FA2002">
              <w:rPr>
                <w:noProof/>
              </w:rPr>
              <w:t>1</w:t>
            </w:r>
            <w:r w:rsidR="00FA2002">
              <w:rPr>
                <w:noProof/>
              </w:rPr>
              <w:fldChar w:fldCharType="end"/>
            </w:r>
            <w:bookmarkEnd w:id="485"/>
            <w:r w:rsidRPr="005206CA">
              <w:t>: Defining business as usual</w:t>
            </w:r>
            <w:bookmarkEnd w:id="486"/>
            <w:bookmarkEnd w:id="487"/>
            <w:bookmarkEnd w:id="488"/>
            <w:bookmarkEnd w:id="489"/>
            <w:bookmarkEnd w:id="490"/>
            <w:bookmarkEnd w:id="491"/>
            <w:bookmarkEnd w:id="492"/>
            <w:bookmarkEnd w:id="493"/>
            <w:bookmarkEnd w:id="494"/>
            <w:bookmarkEnd w:id="495"/>
          </w:p>
          <w:p w14:paraId="5242A02A" w14:textId="6BDF2E6B" w:rsidR="008D1F43" w:rsidRPr="005206CA" w:rsidRDefault="008D1F43" w:rsidP="005B4A5B">
            <w:r w:rsidRPr="005206CA">
              <w:t xml:space="preserve">The term ‘business as usual’ is used to describe the counterfactual or what would occur in the absence of the ERF. The terms business as usual, counterfactual and additionality baseline are often used interchangeably to describe similar concepts. Additional abatement that arises from the ERF is the difference between emissions that </w:t>
            </w:r>
            <w:r w:rsidR="00B72252">
              <w:t>is</w:t>
            </w:r>
            <w:r w:rsidR="00B72252" w:rsidRPr="005206CA">
              <w:t xml:space="preserve"> </w:t>
            </w:r>
            <w:r w:rsidRPr="005206CA">
              <w:t xml:space="preserve">realised with the project in place, and those expected under business as usual. </w:t>
            </w:r>
          </w:p>
          <w:p w14:paraId="61073B5B" w14:textId="70878A7A" w:rsidR="008D1F43" w:rsidRPr="005206CA" w:rsidRDefault="008D1F43" w:rsidP="005B4A5B">
            <w:r w:rsidRPr="005206CA">
              <w:t>By its very nature, the business as usual scenario (counterfactual) can never be known. Estimating the emissions that are expected to arise under the business as usual scenario, therefore, is a fundamental challenge of any offset scheme. However, for many methods it is a core requirement for ensuring emissions reductions are genuine.</w:t>
            </w:r>
          </w:p>
          <w:p w14:paraId="6D7CF290" w14:textId="77777777" w:rsidR="008D1F43" w:rsidRPr="005206CA" w:rsidRDefault="008D1F43" w:rsidP="005B4A5B">
            <w:r w:rsidRPr="005206CA">
              <w:t>Establishing business as usual is also challenging because technologies and practices change and improve over time. Assessing what is additional therefore requires judgements to be made about the rate of technological change or the introduction of new practices that is likely to occur in a given industry or sector.</w:t>
            </w:r>
          </w:p>
        </w:tc>
      </w:tr>
    </w:tbl>
    <w:p w14:paraId="3A6B4F35" w14:textId="77777777" w:rsidR="007E0199" w:rsidRDefault="007E0199" w:rsidP="00677EA9">
      <w:pPr>
        <w:spacing w:before="120"/>
      </w:pPr>
    </w:p>
    <w:p w14:paraId="5C2762CD" w14:textId="77777777" w:rsidR="008D1F43" w:rsidRPr="005206CA" w:rsidRDefault="008D1F43" w:rsidP="00677EA9">
      <w:pPr>
        <w:spacing w:before="120"/>
      </w:pPr>
      <w:r w:rsidRPr="005206CA">
        <w:t>To try to ensure emissions reductions are additional, the ERF has additionality tests embodied in both the legislation and, for particular project types, in method</w:t>
      </w:r>
      <w:r w:rsidR="00677EA9" w:rsidRPr="005206CA">
        <w:t xml:space="preserve">s. </w:t>
      </w:r>
    </w:p>
    <w:p w14:paraId="6E064915" w14:textId="569F26B6" w:rsidR="008D1F43" w:rsidRPr="005206CA" w:rsidRDefault="008D1F43">
      <w:pPr>
        <w:pStyle w:val="Heading2"/>
      </w:pPr>
      <w:bookmarkStart w:id="496" w:name="_Toc494905118"/>
      <w:bookmarkStart w:id="497" w:name="_Toc497819468"/>
      <w:bookmarkStart w:id="498" w:name="_Toc498691534"/>
      <w:bookmarkStart w:id="499" w:name="_Toc499043716"/>
      <w:bookmarkStart w:id="500" w:name="_Toc499051741"/>
      <w:bookmarkStart w:id="501" w:name="_Toc500251091"/>
      <w:bookmarkStart w:id="502" w:name="_Toc500251366"/>
      <w:bookmarkStart w:id="503" w:name="_Toc500253963"/>
      <w:bookmarkStart w:id="504" w:name="_Toc500401470"/>
      <w:bookmarkStart w:id="505" w:name="_Toc500490955"/>
      <w:bookmarkStart w:id="506" w:name="_Toc500512897"/>
      <w:bookmarkStart w:id="507" w:name="_Toc500514152"/>
      <w:bookmarkStart w:id="508" w:name="_Toc500516209"/>
      <w:r w:rsidRPr="005206CA">
        <w:t>Additionality under the C</w:t>
      </w:r>
      <w:r w:rsidR="006749FD" w:rsidRPr="005206CA">
        <w:t xml:space="preserve">arbon </w:t>
      </w:r>
      <w:r w:rsidRPr="005206CA">
        <w:t>F</w:t>
      </w:r>
      <w:r w:rsidR="006749FD" w:rsidRPr="005206CA">
        <w:t xml:space="preserve">arming </w:t>
      </w:r>
      <w:r w:rsidRPr="005206CA">
        <w:t>I</w:t>
      </w:r>
      <w:r w:rsidR="006749FD" w:rsidRPr="005206CA">
        <w:t>nitiative</w:t>
      </w:r>
      <w:r w:rsidRPr="005206CA">
        <w:t xml:space="preserve"> Act</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022E9914" w14:textId="0674B3A9" w:rsidR="008D1F43" w:rsidRPr="005206CA" w:rsidRDefault="008D1F43" w:rsidP="008D1F43">
      <w:r w:rsidRPr="005206CA">
        <w:t>There are three additionality requirements under the</w:t>
      </w:r>
      <w:r w:rsidR="006749FD" w:rsidRPr="005206CA">
        <w:t xml:space="preserve"> </w:t>
      </w:r>
      <w:r w:rsidR="006749FD" w:rsidRPr="005206CA">
        <w:rPr>
          <w:i/>
        </w:rPr>
        <w:t>Carbon Credits (</w:t>
      </w:r>
      <w:r w:rsidRPr="005206CA">
        <w:rPr>
          <w:i/>
        </w:rPr>
        <w:t>C</w:t>
      </w:r>
      <w:r w:rsidR="006749FD" w:rsidRPr="005206CA">
        <w:rPr>
          <w:i/>
        </w:rPr>
        <w:t xml:space="preserve">arbon </w:t>
      </w:r>
      <w:r w:rsidRPr="005206CA">
        <w:rPr>
          <w:i/>
        </w:rPr>
        <w:t>F</w:t>
      </w:r>
      <w:r w:rsidR="006749FD" w:rsidRPr="005206CA">
        <w:rPr>
          <w:i/>
        </w:rPr>
        <w:t xml:space="preserve">arming </w:t>
      </w:r>
      <w:r w:rsidRPr="005206CA">
        <w:rPr>
          <w:i/>
        </w:rPr>
        <w:t>I</w:t>
      </w:r>
      <w:r w:rsidR="006749FD" w:rsidRPr="005206CA">
        <w:rPr>
          <w:i/>
        </w:rPr>
        <w:t>nitiative)</w:t>
      </w:r>
      <w:r w:rsidRPr="005206CA">
        <w:rPr>
          <w:i/>
        </w:rPr>
        <w:t xml:space="preserve"> Act</w:t>
      </w:r>
      <w:r w:rsidR="006749FD" w:rsidRPr="005206CA">
        <w:rPr>
          <w:i/>
        </w:rPr>
        <w:t xml:space="preserve"> 2011</w:t>
      </w:r>
      <w:r w:rsidR="006749FD" w:rsidRPr="005206CA">
        <w:t xml:space="preserve"> (Cth)</w:t>
      </w:r>
      <w:r w:rsidRPr="005206CA">
        <w:t>: newness, regulatory additionality and a governme</w:t>
      </w:r>
      <w:r w:rsidR="00BA5B19" w:rsidRPr="005206CA">
        <w:t>nt program requirement</w:t>
      </w:r>
      <w:r w:rsidRPr="005206CA">
        <w:t xml:space="preserve">. </w:t>
      </w:r>
    </w:p>
    <w:p w14:paraId="50B33DDA" w14:textId="77777777" w:rsidR="008D1F43" w:rsidRPr="005206CA" w:rsidRDefault="008D1F43">
      <w:pPr>
        <w:pStyle w:val="Heading3"/>
      </w:pPr>
      <w:r w:rsidRPr="005206CA">
        <w:t>Newness</w:t>
      </w:r>
    </w:p>
    <w:p w14:paraId="2EF28BCD" w14:textId="750B7881" w:rsidR="001945FA" w:rsidRPr="005206CA" w:rsidRDefault="008D1F43" w:rsidP="001621F9">
      <w:pPr>
        <w:rPr>
          <w:caps/>
          <w:color w:val="159DCE"/>
        </w:rPr>
      </w:pPr>
      <w:r w:rsidRPr="005206CA">
        <w:t xml:space="preserve">Under the newness requirement, the project must not have begun at the time the ERF project is registered with the </w:t>
      </w:r>
      <w:r w:rsidR="006749FD" w:rsidRPr="005206CA">
        <w:t>Clean Energy Regulator (</w:t>
      </w:r>
      <w:r w:rsidRPr="005206CA">
        <w:t>CER</w:t>
      </w:r>
      <w:r w:rsidR="006749FD" w:rsidRPr="005206CA">
        <w:t>)</w:t>
      </w:r>
      <w:r w:rsidRPr="005206CA">
        <w:t>. The newness requirement was intended as a practical filter to ensure that only projects established in response to the ERF incentive would be eligible for ERF crediting and purchasing. Following consultations on the draft ERF legislation, however, a number of projects established under the previous C</w:t>
      </w:r>
      <w:r w:rsidR="006749FD" w:rsidRPr="005206CA">
        <w:t xml:space="preserve">arbon </w:t>
      </w:r>
      <w:r w:rsidRPr="005206CA">
        <w:t>F</w:t>
      </w:r>
      <w:r w:rsidR="006749FD" w:rsidRPr="005206CA">
        <w:t xml:space="preserve">arming </w:t>
      </w:r>
      <w:r w:rsidRPr="005206CA">
        <w:t>I</w:t>
      </w:r>
      <w:r w:rsidR="006749FD" w:rsidRPr="005206CA">
        <w:t>nitiative (CFI)</w:t>
      </w:r>
      <w:r w:rsidRPr="005206CA">
        <w:t xml:space="preserve"> legislation were allowed to transition to the ERF. CFI project proponents made the case that otherwise their investments would be stranded by changes in government policy with the repeal of the carbon price mechanism (</w:t>
      </w:r>
      <w:r w:rsidRPr="005206CA">
        <w:rPr>
          <w:rStyle w:val="In-textChar"/>
        </w:rPr>
        <w:t>Australian Government 2014</w:t>
      </w:r>
      <w:r w:rsidRPr="005206CA">
        <w:t xml:space="preserve">). </w:t>
      </w:r>
    </w:p>
    <w:p w14:paraId="6F02A47D" w14:textId="4F955534" w:rsidR="008D1F43" w:rsidRPr="005206CA" w:rsidRDefault="008D1F43">
      <w:pPr>
        <w:pStyle w:val="Heading3"/>
      </w:pPr>
      <w:r w:rsidRPr="005206CA">
        <w:t>Regulatory additionality</w:t>
      </w:r>
    </w:p>
    <w:p w14:paraId="536D2FD8" w14:textId="541AF635" w:rsidR="008D1F43" w:rsidRPr="005206CA" w:rsidRDefault="008D1F43" w:rsidP="008D1F43">
      <w:r w:rsidRPr="005206CA">
        <w:t xml:space="preserve">The ERF’s regulatory additionality requirement aims to ensure that </w:t>
      </w:r>
      <w:r w:rsidR="00466562" w:rsidRPr="005206CA">
        <w:t xml:space="preserve">emissions reduction </w:t>
      </w:r>
      <w:r w:rsidRPr="005206CA">
        <w:t xml:space="preserve">activities required under state, territory or Australian </w:t>
      </w:r>
      <w:r w:rsidR="001C391A">
        <w:t>g</w:t>
      </w:r>
      <w:r w:rsidRPr="005206CA">
        <w:t>overnment regulation are not eligible under the ERF. For example, projects involving upgrading equipment to meet government health and safety requirements would need to occur anyway and are generally not additional (</w:t>
      </w:r>
      <w:r w:rsidRPr="005206CA">
        <w:rPr>
          <w:rStyle w:val="In-textChar"/>
        </w:rPr>
        <w:t xml:space="preserve">CER </w:t>
      </w:r>
      <w:r w:rsidR="004716BA" w:rsidRPr="005206CA">
        <w:rPr>
          <w:rStyle w:val="In-textChar"/>
        </w:rPr>
        <w:t>2016</w:t>
      </w:r>
      <w:r w:rsidR="00CC545C" w:rsidRPr="005206CA">
        <w:rPr>
          <w:rStyle w:val="In-textChar"/>
        </w:rPr>
        <w:t>f</w:t>
      </w:r>
      <w:r w:rsidRPr="005206CA">
        <w:t>). The ERF legislation also states that if a regulation is removed, abatement activity that was previously covered by regulation remains ineligible for ERF crediting (</w:t>
      </w:r>
      <w:r w:rsidRPr="005206CA">
        <w:rPr>
          <w:rStyle w:val="In-textChar"/>
        </w:rPr>
        <w:t>CFI Regulations</w:t>
      </w:r>
      <w:r w:rsidRPr="005206CA">
        <w:t xml:space="preserve">). This is to avoid creating an incentive for governments to exchange regulation for an ERF project, in effect cost shifting to taxpayers. </w:t>
      </w:r>
    </w:p>
    <w:p w14:paraId="1ED1429E" w14:textId="77777777" w:rsidR="008D1F43" w:rsidRPr="005206CA" w:rsidRDefault="008D1F43">
      <w:pPr>
        <w:pStyle w:val="Heading3"/>
      </w:pPr>
      <w:r w:rsidRPr="005206CA">
        <w:t xml:space="preserve">Government programs </w:t>
      </w:r>
    </w:p>
    <w:p w14:paraId="5CF5765F" w14:textId="29642726" w:rsidR="008D1F43" w:rsidRPr="005206CA" w:rsidRDefault="008D1F43" w:rsidP="008D1F43">
      <w:r w:rsidRPr="005206CA">
        <w:t>The government program requirement seeks to reduce the risk that projects will be non</w:t>
      </w:r>
      <w:r w:rsidR="00B36234" w:rsidRPr="005206CA">
        <w:noBreakHyphen/>
      </w:r>
      <w:r w:rsidRPr="005206CA">
        <w:t>additional as a result of other government incentives paying for the same or simil</w:t>
      </w:r>
      <w:r w:rsidR="00BA5B19" w:rsidRPr="005206CA">
        <w:t xml:space="preserve">ar activities as ERF projects. </w:t>
      </w:r>
      <w:r w:rsidRPr="005206CA">
        <w:t xml:space="preserve">Large government programs that directly support ERF-type project activities such as the 20 Million Trees Programme are ruled out in the CFI Rule (a legislative instrument). As a further check, </w:t>
      </w:r>
      <w:r w:rsidR="00F37384" w:rsidRPr="005206CA">
        <w:t>the</w:t>
      </w:r>
      <w:r w:rsidRPr="005206CA">
        <w:t xml:space="preserve"> E</w:t>
      </w:r>
      <w:r w:rsidR="006749FD" w:rsidRPr="005206CA">
        <w:t xml:space="preserve">missions </w:t>
      </w:r>
      <w:r w:rsidRPr="005206CA">
        <w:t>R</w:t>
      </w:r>
      <w:r w:rsidR="006749FD" w:rsidRPr="005206CA">
        <w:t xml:space="preserve">eduction </w:t>
      </w:r>
      <w:r w:rsidRPr="005206CA">
        <w:t>A</w:t>
      </w:r>
      <w:r w:rsidR="006749FD" w:rsidRPr="005206CA">
        <w:t xml:space="preserve">ssurance </w:t>
      </w:r>
      <w:r w:rsidRPr="005206CA">
        <w:t>C</w:t>
      </w:r>
      <w:r w:rsidR="006749FD" w:rsidRPr="005206CA">
        <w:t>ommittee</w:t>
      </w:r>
      <w:r w:rsidRPr="005206CA">
        <w:t xml:space="preserve"> </w:t>
      </w:r>
      <w:r w:rsidR="00444E1F" w:rsidRPr="005206CA">
        <w:t xml:space="preserve">(ERAC) </w:t>
      </w:r>
      <w:r w:rsidRPr="005206CA">
        <w:t xml:space="preserve">can assess individual methods to determine whether available government incentives would make projects non-additional. </w:t>
      </w:r>
    </w:p>
    <w:p w14:paraId="4FCB0595" w14:textId="18F2ED3B" w:rsidR="008D1F43" w:rsidRPr="005206CA" w:rsidRDefault="008D1F43" w:rsidP="008D1F43">
      <w:r w:rsidRPr="005206CA">
        <w:t xml:space="preserve">The ERF explicitly allows for some co-funding of ERF projects to pay for non-emissions reduction benefits (like improving water quality in the Great Barrier Reef or support for renewable energy from the Australian Renewable Energy Agency). </w:t>
      </w:r>
    </w:p>
    <w:p w14:paraId="3AA2149F" w14:textId="77777777" w:rsidR="008D1F43" w:rsidRPr="005206CA" w:rsidRDefault="008D1F43">
      <w:pPr>
        <w:pStyle w:val="Heading2"/>
      </w:pPr>
      <w:bookmarkStart w:id="509" w:name="_Toc494905119"/>
      <w:bookmarkStart w:id="510" w:name="_Toc497819469"/>
      <w:bookmarkStart w:id="511" w:name="_Toc498691535"/>
      <w:bookmarkStart w:id="512" w:name="_Toc499043717"/>
      <w:bookmarkStart w:id="513" w:name="_Toc499051742"/>
      <w:bookmarkStart w:id="514" w:name="_Toc500251092"/>
      <w:bookmarkStart w:id="515" w:name="_Toc500251367"/>
      <w:bookmarkStart w:id="516" w:name="_Toc500253964"/>
      <w:bookmarkStart w:id="517" w:name="_Toc500401471"/>
      <w:bookmarkStart w:id="518" w:name="_Toc500490956"/>
      <w:bookmarkStart w:id="519" w:name="_Toc500512898"/>
      <w:bookmarkStart w:id="520" w:name="_Toc500514153"/>
      <w:bookmarkStart w:id="521" w:name="_Toc500516210"/>
      <w:r w:rsidRPr="005206CA">
        <w:t>Additionality requirements in methods</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76FDFC63" w14:textId="0CFE5FBD" w:rsidR="008D1F43" w:rsidRPr="005206CA" w:rsidRDefault="008D1F43" w:rsidP="008D1F43">
      <w:r w:rsidRPr="005206CA">
        <w:t>ERF methods contain a number of specific additionality requirements that are targeted to particular risks of non-additionality associated with a given sector, technology or other type of project activity. These specific method based additionality requirements recognise that technologies and practices in commercial use tend to have a business as usual rate of efficiency improvement, which will occur in the absence of ERF support. As such, the ERF tries to prevent A</w:t>
      </w:r>
      <w:r w:rsidR="006749FD" w:rsidRPr="005206CA">
        <w:t xml:space="preserve">ustralian </w:t>
      </w:r>
      <w:r w:rsidRPr="005206CA">
        <w:t>C</w:t>
      </w:r>
      <w:r w:rsidR="006749FD" w:rsidRPr="005206CA">
        <w:t xml:space="preserve">arbon </w:t>
      </w:r>
      <w:r w:rsidRPr="005206CA">
        <w:t>C</w:t>
      </w:r>
      <w:r w:rsidR="006749FD" w:rsidRPr="005206CA">
        <w:t xml:space="preserve">redit </w:t>
      </w:r>
      <w:r w:rsidRPr="005206CA">
        <w:t>U</w:t>
      </w:r>
      <w:r w:rsidR="006749FD" w:rsidRPr="005206CA">
        <w:t>nit</w:t>
      </w:r>
      <w:r w:rsidRPr="005206CA">
        <w:t xml:space="preserve">s </w:t>
      </w:r>
      <w:r w:rsidR="006749FD" w:rsidRPr="005206CA">
        <w:t xml:space="preserve">(ACCUs) </w:t>
      </w:r>
      <w:r w:rsidRPr="005206CA">
        <w:t>being earned for emissions reductions associated with business as usual improvements. These method specific additionality requirements generally supplement the ERF newness, regulatory and government program additionality requirements but in some cases, they are used as alternatives to the ERF legislation’s additionality tests if the legislative tests are not well suited to the method’s activities.</w:t>
      </w:r>
    </w:p>
    <w:p w14:paraId="08C85FFF" w14:textId="7A4CBAB3" w:rsidR="008D1F43" w:rsidRPr="005206CA" w:rsidRDefault="008D1F43" w:rsidP="008D1F43">
      <w:r w:rsidRPr="005206CA">
        <w:t xml:space="preserve">The </w:t>
      </w:r>
      <w:r w:rsidR="001C391A">
        <w:t>i</w:t>
      </w:r>
      <w:r w:rsidRPr="005206CA">
        <w:t>ndustrial</w:t>
      </w:r>
      <w:r w:rsidRPr="005206CA" w:rsidDel="001C391A">
        <w:t xml:space="preserve"> </w:t>
      </w:r>
      <w:r w:rsidR="001C391A">
        <w:t>e</w:t>
      </w:r>
      <w:r w:rsidR="001C391A" w:rsidRPr="005206CA">
        <w:t xml:space="preserve">lectricity </w:t>
      </w:r>
      <w:r w:rsidRPr="005206CA">
        <w:t xml:space="preserve">and </w:t>
      </w:r>
      <w:r w:rsidR="001C391A">
        <w:t>f</w:t>
      </w:r>
      <w:r w:rsidR="001C391A" w:rsidRPr="005206CA">
        <w:t>uel</w:t>
      </w:r>
      <w:r w:rsidRPr="005206CA" w:rsidDel="001C391A">
        <w:t xml:space="preserve"> </w:t>
      </w:r>
      <w:r w:rsidR="001C391A">
        <w:t>e</w:t>
      </w:r>
      <w:r w:rsidR="001C391A" w:rsidRPr="005206CA">
        <w:t xml:space="preserve">fficiency </w:t>
      </w:r>
      <w:r w:rsidRPr="005206CA">
        <w:t>method credits emissions reductions through activities such as upgrades to boilers and heating, ventilation and cooling systems or switching fuel sources. In some cases, these upgrades or improvements would be expected to occur as part of normal business decision making at some point in the future. To address the risk that the emissions reductions would occur anyway, project emission</w:t>
      </w:r>
      <w:r w:rsidR="00C11A32" w:rsidRPr="005206CA">
        <w:t>s</w:t>
      </w:r>
      <w:r w:rsidRPr="005206CA">
        <w:t xml:space="preserve"> reductions are calculated against a baseline that discounts (or reduces the emissions reductions from the project) for energy efficiency improvements that are expected to occur as a result of technological change. </w:t>
      </w:r>
    </w:p>
    <w:p w14:paraId="0A178132" w14:textId="03B8D83A" w:rsidR="008D1F43" w:rsidRPr="005206CA" w:rsidRDefault="008D1F43" w:rsidP="008D1F43">
      <w:r w:rsidRPr="005206CA">
        <w:t xml:space="preserve">Under the </w:t>
      </w:r>
      <w:r w:rsidR="001C391A">
        <w:t>l</w:t>
      </w:r>
      <w:r w:rsidRPr="005206CA">
        <w:t xml:space="preserve">and and </w:t>
      </w:r>
      <w:r w:rsidR="001C391A">
        <w:t>s</w:t>
      </w:r>
      <w:r w:rsidR="001C391A" w:rsidRPr="005206CA">
        <w:t>ea</w:t>
      </w:r>
      <w:r w:rsidRPr="005206CA" w:rsidDel="001C391A">
        <w:t xml:space="preserve"> </w:t>
      </w:r>
      <w:r w:rsidR="001C391A">
        <w:t>t</w:t>
      </w:r>
      <w:r w:rsidR="001C391A" w:rsidRPr="005206CA">
        <w:t xml:space="preserve">ransport </w:t>
      </w:r>
      <w:r w:rsidRPr="005206CA">
        <w:t>method</w:t>
      </w:r>
      <w:r w:rsidR="00B36234" w:rsidRPr="005206CA">
        <w:t>,</w:t>
      </w:r>
      <w:r w:rsidRPr="005206CA">
        <w:t xml:space="preserve"> emissions can be reduced by improving the emissions intensity of vehicles, including by replacing vehicles, modifying vehicles (fuel switching) and changing operational practices. In a similar fashion to the </w:t>
      </w:r>
      <w:r w:rsidR="001C391A">
        <w:t>i</w:t>
      </w:r>
      <w:r w:rsidRPr="005206CA">
        <w:t>ndustrial</w:t>
      </w:r>
      <w:r w:rsidRPr="005206CA" w:rsidDel="001C391A">
        <w:t xml:space="preserve"> </w:t>
      </w:r>
      <w:r w:rsidR="001C391A">
        <w:t>e</w:t>
      </w:r>
      <w:r w:rsidR="001C391A" w:rsidRPr="005206CA">
        <w:t xml:space="preserve">lectricity </w:t>
      </w:r>
      <w:r w:rsidRPr="005206CA">
        <w:t xml:space="preserve">and </w:t>
      </w:r>
      <w:r w:rsidR="001C391A">
        <w:t>f</w:t>
      </w:r>
      <w:r w:rsidR="001C391A" w:rsidRPr="005206CA">
        <w:t>uel</w:t>
      </w:r>
      <w:r w:rsidRPr="005206CA" w:rsidDel="001C391A">
        <w:t xml:space="preserve"> </w:t>
      </w:r>
      <w:r w:rsidR="001C391A">
        <w:t>e</w:t>
      </w:r>
      <w:r w:rsidR="001C391A" w:rsidRPr="005206CA">
        <w:t xml:space="preserve">fficiency </w:t>
      </w:r>
      <w:r w:rsidRPr="005206CA">
        <w:t>method, the baseline for calculating emissions reductions under the transport method also accounts for expected improvements (by reducing emissions reductions from the project) in the emissions intensity of each vehicle category over time.</w:t>
      </w:r>
    </w:p>
    <w:p w14:paraId="42C4208C" w14:textId="218BB5D1" w:rsidR="00964CEC" w:rsidRPr="005206CA" w:rsidRDefault="008D1F43" w:rsidP="004E011A">
      <w:r w:rsidRPr="005206CA">
        <w:t xml:space="preserve">Under the savanna burning method, scheme participants are required to undertake planned early dry season burning to reduce the risk and extent of higher intensity fires (and therefore emissions) in the late dry season. To help address additionality concerns and ensure that </w:t>
      </w:r>
      <w:r w:rsidR="002B73FA" w:rsidRPr="005206CA">
        <w:t>ACCUs</w:t>
      </w:r>
      <w:r w:rsidRPr="005206CA">
        <w:t xml:space="preserve"> are</w:t>
      </w:r>
      <w:r w:rsidR="0096341B" w:rsidRPr="005206CA">
        <w:t xml:space="preserve"> not </w:t>
      </w:r>
      <w:r w:rsidR="00FD10B2" w:rsidRPr="005206CA">
        <w:t>issued</w:t>
      </w:r>
      <w:r w:rsidRPr="005206CA">
        <w:t xml:space="preserve"> for fire management activities that would have occurred anyway, the method only credits emissions reductions that are below the average emissions in the project area in the 10-15 years before the project commences. </w:t>
      </w:r>
    </w:p>
    <w:p w14:paraId="79217C57" w14:textId="77777777" w:rsidR="008D1F43" w:rsidRPr="005206CA" w:rsidRDefault="008D1F43">
      <w:pPr>
        <w:pStyle w:val="Heading2"/>
      </w:pPr>
      <w:bookmarkStart w:id="522" w:name="_Toc498690799"/>
      <w:bookmarkStart w:id="523" w:name="_Toc498692158"/>
      <w:bookmarkStart w:id="524" w:name="_Toc494905120"/>
      <w:bookmarkStart w:id="525" w:name="_Toc497819470"/>
      <w:bookmarkStart w:id="526" w:name="_Toc498691537"/>
      <w:bookmarkStart w:id="527" w:name="_Toc499043718"/>
      <w:bookmarkStart w:id="528" w:name="_Toc499051743"/>
      <w:bookmarkStart w:id="529" w:name="_Toc500251093"/>
      <w:bookmarkStart w:id="530" w:name="_Toc500251368"/>
      <w:bookmarkStart w:id="531" w:name="_Toc500253965"/>
      <w:bookmarkStart w:id="532" w:name="_Toc500401472"/>
      <w:bookmarkStart w:id="533" w:name="_Toc500490957"/>
      <w:bookmarkStart w:id="534" w:name="_Toc500512899"/>
      <w:bookmarkStart w:id="535" w:name="_Toc500514154"/>
      <w:bookmarkStart w:id="536" w:name="_Toc500516211"/>
      <w:bookmarkEnd w:id="522"/>
      <w:bookmarkEnd w:id="523"/>
      <w:r w:rsidRPr="005206CA">
        <w:t>Additionality tests in other offset schemes</w:t>
      </w:r>
      <w:bookmarkEnd w:id="524"/>
      <w:bookmarkEnd w:id="525"/>
      <w:bookmarkEnd w:id="526"/>
      <w:bookmarkEnd w:id="527"/>
      <w:bookmarkEnd w:id="528"/>
      <w:bookmarkEnd w:id="529"/>
      <w:bookmarkEnd w:id="530"/>
      <w:bookmarkEnd w:id="531"/>
      <w:bookmarkEnd w:id="532"/>
      <w:bookmarkEnd w:id="533"/>
      <w:bookmarkEnd w:id="534"/>
      <w:bookmarkEnd w:id="535"/>
      <w:bookmarkEnd w:id="536"/>
    </w:p>
    <w:p w14:paraId="14ABFB83" w14:textId="3A83A58F" w:rsidR="008D1F43" w:rsidRPr="005206CA" w:rsidRDefault="008D1F43" w:rsidP="008D1F43">
      <w:r w:rsidRPr="005206CA">
        <w:t xml:space="preserve">The additionality requirements in the ERF were informed by experience with the CFI and other offsets initiatives including the United Nations Framework Convention on Climate Change Clean Development Mechanism. </w:t>
      </w:r>
    </w:p>
    <w:p w14:paraId="24DC8544" w14:textId="77777777" w:rsidR="008D1F43" w:rsidRPr="005206CA" w:rsidRDefault="008D1F43" w:rsidP="008D1F43">
      <w:r w:rsidRPr="005206CA">
        <w:t>Some of these schemes include a requirement for financial additionality where individual projects are assessed to determine if they would be financially viable without the financial support of the offset scheme. Financial additionality tests on a project-by-project basis are resource intensive and require a range of subjective assumptions to be made about individual financial behaviour and risk appetite.</w:t>
      </w:r>
    </w:p>
    <w:p w14:paraId="3AF14FC7" w14:textId="77777777" w:rsidR="008D1F43" w:rsidRPr="005206CA" w:rsidRDefault="008D1F43" w:rsidP="008D1F43">
      <w:r w:rsidRPr="005206CA">
        <w:t xml:space="preserve">The CFI was designed to avoid project-by-project assessment by incorporating a common practice test. The thinking here was that if a project activity was already widespread in a given sector or region, then it was unlikely to be additional. Activities that went beyond common practice were included in a ‘positive list’ and were eligible for a method to be developed. </w:t>
      </w:r>
    </w:p>
    <w:p w14:paraId="568E6979" w14:textId="654BCD1C" w:rsidR="008D1F43" w:rsidRPr="005206CA" w:rsidRDefault="008D1F43" w:rsidP="008D1F43">
      <w:r w:rsidRPr="005206CA">
        <w:t xml:space="preserve">In their </w:t>
      </w:r>
      <w:r w:rsidR="007E5547" w:rsidRPr="005206CA">
        <w:t>submission on</w:t>
      </w:r>
      <w:r w:rsidRPr="005206CA">
        <w:t xml:space="preserve"> the 2017 </w:t>
      </w:r>
      <w:r w:rsidR="002874CD" w:rsidRPr="005206CA">
        <w:t>r</w:t>
      </w:r>
      <w:r w:rsidRPr="005206CA">
        <w:t xml:space="preserve">eview, the Wentworth Group called for the positive list to be reinstated as they said it </w:t>
      </w:r>
      <w:r w:rsidR="00B36234" w:rsidRPr="005206CA">
        <w:t>‘</w:t>
      </w:r>
      <w:r w:rsidRPr="005206CA">
        <w:t>was a simple means of streamlining project assessment against the ‘additionality’ requirements</w:t>
      </w:r>
      <w:r w:rsidR="005D4D16" w:rsidRPr="005206CA">
        <w:t>’</w:t>
      </w:r>
      <w:r w:rsidR="002874CD" w:rsidRPr="005206CA">
        <w:t xml:space="preserve"> (p. 3)</w:t>
      </w:r>
      <w:r w:rsidRPr="005206CA">
        <w:t>.</w:t>
      </w:r>
    </w:p>
    <w:p w14:paraId="30711B2D" w14:textId="77777777" w:rsidR="008D1F43" w:rsidRPr="005206CA" w:rsidRDefault="008D1F43" w:rsidP="008D1F43">
      <w:r w:rsidRPr="005206CA">
        <w:t>Stakeholder feedback on the CFI was that the common practice test was complex, administratively onerous and delayed the development of new methods (</w:t>
      </w:r>
      <w:r w:rsidRPr="005206CA">
        <w:rPr>
          <w:rStyle w:val="In-textChar"/>
        </w:rPr>
        <w:t>Australian Government 2014</w:t>
      </w:r>
      <w:r w:rsidRPr="005206CA">
        <w:t xml:space="preserve">). The positive list was removed for the ERF and the concept of common practice is instead used to test for additionality in methods. It is not clear how the problems experienced with the positive list under the CFI could be resolved and the Authority is of the view that it should not be reinstated. </w:t>
      </w:r>
    </w:p>
    <w:p w14:paraId="7E2C6D7A" w14:textId="77777777" w:rsidR="008D1F43" w:rsidRPr="005206CA" w:rsidRDefault="008D1F43">
      <w:pPr>
        <w:pStyle w:val="Heading2"/>
      </w:pPr>
      <w:bookmarkStart w:id="537" w:name="_Toc494905121"/>
      <w:bookmarkStart w:id="538" w:name="_Toc497819471"/>
      <w:bookmarkStart w:id="539" w:name="_Toc498691538"/>
      <w:bookmarkStart w:id="540" w:name="_Toc499043719"/>
      <w:bookmarkStart w:id="541" w:name="_Toc499051744"/>
      <w:bookmarkStart w:id="542" w:name="_Ref500245015"/>
      <w:bookmarkStart w:id="543" w:name="_Toc500251094"/>
      <w:bookmarkStart w:id="544" w:name="_Toc500251369"/>
      <w:bookmarkStart w:id="545" w:name="_Toc500253966"/>
      <w:bookmarkStart w:id="546" w:name="_Toc500401473"/>
      <w:bookmarkStart w:id="547" w:name="_Toc500490958"/>
      <w:bookmarkStart w:id="548" w:name="_Toc500512900"/>
      <w:bookmarkStart w:id="549" w:name="_Toc500514155"/>
      <w:bookmarkStart w:id="550" w:name="_Toc500516212"/>
      <w:r w:rsidRPr="005206CA">
        <w:t>Additionality issues in methods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0970E340" w14:textId="77777777" w:rsidR="008D1F43" w:rsidRPr="005206CA" w:rsidRDefault="008D1F43">
      <w:pPr>
        <w:pStyle w:val="Heading3"/>
      </w:pPr>
      <w:r w:rsidRPr="005206CA">
        <w:t>Vegetation methods</w:t>
      </w:r>
    </w:p>
    <w:p w14:paraId="4ACAC087" w14:textId="6C02DD51" w:rsidR="008D1F43" w:rsidRPr="005206CA" w:rsidRDefault="008D1F43" w:rsidP="008D1F43">
      <w:r w:rsidRPr="005206CA">
        <w:t>Concerns have been raised by stakeholders about additionality in some of the ERF methods, particularly methods that give credit for avoiding land clearing or allowing trees to regrow after land has been cleared</w:t>
      </w:r>
      <w:r w:rsidR="00466562" w:rsidRPr="005206CA">
        <w:t xml:space="preserve"> (</w:t>
      </w:r>
      <w:r w:rsidR="001C4B1F">
        <w:fldChar w:fldCharType="begin"/>
      </w:r>
      <w:r w:rsidR="001C4B1F">
        <w:instrText xml:space="preserve"> REF _Ref500490261 \h </w:instrText>
      </w:r>
      <w:r w:rsidR="001C4B1F">
        <w:fldChar w:fldCharType="separate"/>
      </w:r>
      <w:r w:rsidR="00FA2002" w:rsidRPr="005206CA">
        <w:t xml:space="preserve">Table </w:t>
      </w:r>
      <w:r w:rsidR="00FA2002">
        <w:rPr>
          <w:noProof/>
        </w:rPr>
        <w:t>3</w:t>
      </w:r>
      <w:r w:rsidR="001C4B1F">
        <w:fldChar w:fldCharType="end"/>
      </w:r>
      <w:r w:rsidR="00466562" w:rsidRPr="005206CA">
        <w:t xml:space="preserve">) </w:t>
      </w:r>
      <w:r w:rsidRPr="005206CA">
        <w:t>but also for methods that credit avoiding emissions from landfill waste</w:t>
      </w:r>
      <w:r w:rsidR="00B72252">
        <w:t xml:space="preserve"> (Section </w:t>
      </w:r>
      <w:r w:rsidR="001E1DD5">
        <w:fldChar w:fldCharType="begin"/>
      </w:r>
      <w:r w:rsidR="001E1DD5">
        <w:instrText xml:space="preserve"> REF _Ref500490144 \n \h </w:instrText>
      </w:r>
      <w:r w:rsidR="001E1DD5">
        <w:fldChar w:fldCharType="separate"/>
      </w:r>
      <w:r w:rsidR="00FA2002">
        <w:t>4.4.2</w:t>
      </w:r>
      <w:r w:rsidR="001E1DD5">
        <w:fldChar w:fldCharType="end"/>
      </w:r>
      <w:r w:rsidR="00B72252">
        <w:t>)</w:t>
      </w:r>
      <w:r w:rsidRPr="005206CA">
        <w:t xml:space="preserve">. </w:t>
      </w:r>
    </w:p>
    <w:p w14:paraId="688B34FB" w14:textId="77777777" w:rsidR="005A7522" w:rsidRPr="005206CA" w:rsidRDefault="005A7522">
      <w:pPr>
        <w:spacing w:after="0" w:line="240" w:lineRule="auto"/>
        <w:rPr>
          <w:rFonts w:eastAsiaTheme="minorHAnsi" w:cstheme="minorBidi"/>
          <w:caps/>
          <w:color w:val="159DCE"/>
        </w:rPr>
      </w:pPr>
      <w:bookmarkStart w:id="551" w:name="_Ref497731655"/>
      <w:bookmarkStart w:id="552" w:name="_Toc497819432"/>
      <w:bookmarkStart w:id="553" w:name="_Toc498691494"/>
      <w:bookmarkStart w:id="554" w:name="_Toc499051694"/>
      <w:r w:rsidRPr="005206CA">
        <w:br w:type="page"/>
      </w:r>
    </w:p>
    <w:p w14:paraId="5F48D04F" w14:textId="31A02A80" w:rsidR="00920A12" w:rsidRPr="005206CA" w:rsidRDefault="00920A12" w:rsidP="00920A12">
      <w:pPr>
        <w:pStyle w:val="CCAFigure"/>
      </w:pPr>
      <w:bookmarkStart w:id="555" w:name="_Ref500490261"/>
      <w:bookmarkStart w:id="556" w:name="_Toc500251042"/>
      <w:bookmarkStart w:id="557" w:name="_Toc500251317"/>
      <w:bookmarkStart w:id="558" w:name="_Toc500253914"/>
      <w:bookmarkStart w:id="559" w:name="_Toc500400117"/>
      <w:bookmarkStart w:id="560" w:name="_Toc500490905"/>
      <w:bookmarkStart w:id="561" w:name="_Toc500513621"/>
      <w:bookmarkStart w:id="562" w:name="_Toc500516159"/>
      <w:r w:rsidRPr="005206CA">
        <w:t xml:space="preserve">Table </w:t>
      </w:r>
      <w:r w:rsidR="00FA2002">
        <w:fldChar w:fldCharType="begin"/>
      </w:r>
      <w:r w:rsidR="00FA2002">
        <w:instrText xml:space="preserve"> SEQ Table \* ARABIC </w:instrText>
      </w:r>
      <w:r w:rsidR="00FA2002">
        <w:fldChar w:fldCharType="separate"/>
      </w:r>
      <w:r w:rsidR="00FA2002">
        <w:rPr>
          <w:noProof/>
        </w:rPr>
        <w:t>3</w:t>
      </w:r>
      <w:r w:rsidR="00FA2002">
        <w:rPr>
          <w:noProof/>
        </w:rPr>
        <w:fldChar w:fldCharType="end"/>
      </w:r>
      <w:bookmarkEnd w:id="551"/>
      <w:bookmarkEnd w:id="555"/>
      <w:r w:rsidR="009A0B81" w:rsidRPr="005206CA">
        <w:t>:</w:t>
      </w:r>
      <w:r w:rsidRPr="005206CA">
        <w:t xml:space="preserve"> Key ERF vegetation methods</w:t>
      </w:r>
      <w:bookmarkEnd w:id="552"/>
      <w:bookmarkEnd w:id="553"/>
      <w:bookmarkEnd w:id="554"/>
      <w:bookmarkEnd w:id="556"/>
      <w:bookmarkEnd w:id="557"/>
      <w:bookmarkEnd w:id="558"/>
      <w:bookmarkEnd w:id="559"/>
      <w:bookmarkEnd w:id="560"/>
      <w:bookmarkEnd w:id="561"/>
      <w:bookmarkEnd w:id="562"/>
    </w:p>
    <w:tbl>
      <w:tblPr>
        <w:tblW w:w="0" w:type="auto"/>
        <w:tblBorders>
          <w:insideH w:val="dotted" w:sz="4" w:space="0" w:color="auto"/>
        </w:tblBorders>
        <w:tblLook w:val="04A0" w:firstRow="1" w:lastRow="0" w:firstColumn="1" w:lastColumn="0" w:noHBand="0" w:noVBand="1"/>
      </w:tblPr>
      <w:tblGrid>
        <w:gridCol w:w="1839"/>
        <w:gridCol w:w="6037"/>
        <w:gridCol w:w="1336"/>
      </w:tblGrid>
      <w:tr w:rsidR="008D1F43" w:rsidRPr="005206CA" w14:paraId="615DB7B2" w14:textId="77777777" w:rsidTr="005B4A5B">
        <w:tc>
          <w:tcPr>
            <w:tcW w:w="0" w:type="auto"/>
            <w:shd w:val="clear" w:color="auto" w:fill="159DCE"/>
          </w:tcPr>
          <w:p w14:paraId="076C5BAB" w14:textId="77777777" w:rsidR="008D1F43" w:rsidRPr="005206CA" w:rsidRDefault="008D1F43" w:rsidP="005B4A5B">
            <w:pPr>
              <w:spacing w:before="40" w:after="40" w:line="240" w:lineRule="auto"/>
              <w:rPr>
                <w:rFonts w:cs="Arial"/>
                <w:b/>
                <w:bCs/>
                <w:color w:val="FFFFFF" w:themeColor="background1"/>
                <w:sz w:val="16"/>
                <w:szCs w:val="16"/>
                <w:lang w:eastAsia="en-AU"/>
              </w:rPr>
            </w:pPr>
            <w:r w:rsidRPr="005206CA">
              <w:rPr>
                <w:rFonts w:cs="Arial"/>
                <w:b/>
                <w:bCs/>
                <w:color w:val="FFFFFF" w:themeColor="background1"/>
                <w:sz w:val="16"/>
                <w:szCs w:val="16"/>
                <w:lang w:eastAsia="en-AU"/>
              </w:rPr>
              <w:t>METHOD</w:t>
            </w:r>
          </w:p>
        </w:tc>
        <w:tc>
          <w:tcPr>
            <w:tcW w:w="6037" w:type="dxa"/>
            <w:shd w:val="clear" w:color="auto" w:fill="159DCE"/>
          </w:tcPr>
          <w:p w14:paraId="630550FD" w14:textId="77777777" w:rsidR="008D1F43" w:rsidRPr="005206CA" w:rsidRDefault="008D1F43" w:rsidP="005B4A5B">
            <w:pPr>
              <w:autoSpaceDE w:val="0"/>
              <w:autoSpaceDN w:val="0"/>
              <w:adjustRightInd w:val="0"/>
              <w:spacing w:before="40" w:after="40" w:line="240" w:lineRule="auto"/>
              <w:rPr>
                <w:rFonts w:cs="Arial"/>
                <w:b/>
                <w:bCs/>
                <w:color w:val="FFFFFF" w:themeColor="background1"/>
                <w:sz w:val="16"/>
                <w:szCs w:val="16"/>
                <w:lang w:eastAsia="en-AU"/>
              </w:rPr>
            </w:pPr>
            <w:r w:rsidRPr="005206CA">
              <w:rPr>
                <w:rFonts w:cs="Arial"/>
                <w:b/>
                <w:bCs/>
                <w:color w:val="FFFFFF" w:themeColor="background1"/>
                <w:sz w:val="16"/>
                <w:szCs w:val="16"/>
                <w:lang w:eastAsia="en-AU"/>
              </w:rPr>
              <w:t>DESCRIPTION</w:t>
            </w:r>
          </w:p>
        </w:tc>
        <w:tc>
          <w:tcPr>
            <w:tcW w:w="1336" w:type="dxa"/>
            <w:shd w:val="clear" w:color="auto" w:fill="159DCE"/>
          </w:tcPr>
          <w:p w14:paraId="5E00D7A5" w14:textId="2DCF2473" w:rsidR="008D1F43" w:rsidRPr="005206CA" w:rsidRDefault="001C391A" w:rsidP="005B4A5B">
            <w:pPr>
              <w:autoSpaceDE w:val="0"/>
              <w:autoSpaceDN w:val="0"/>
              <w:adjustRightInd w:val="0"/>
              <w:spacing w:before="40" w:after="40" w:line="240" w:lineRule="auto"/>
              <w:jc w:val="right"/>
              <w:rPr>
                <w:rFonts w:cs="Arial"/>
                <w:b/>
                <w:bCs/>
                <w:color w:val="FFFFFF" w:themeColor="background1"/>
                <w:sz w:val="16"/>
                <w:szCs w:val="16"/>
                <w:lang w:eastAsia="en-AU"/>
              </w:rPr>
            </w:pPr>
            <w:r>
              <w:rPr>
                <w:rFonts w:cs="Arial"/>
                <w:b/>
                <w:bCs/>
                <w:color w:val="FFFFFF" w:themeColor="background1"/>
                <w:sz w:val="16"/>
                <w:szCs w:val="16"/>
                <w:lang w:eastAsia="en-AU"/>
              </w:rPr>
              <w:t xml:space="preserve">SHARE OF TOTAL </w:t>
            </w:r>
            <w:r w:rsidR="008D1F43" w:rsidRPr="005206CA">
              <w:rPr>
                <w:rFonts w:cs="Arial"/>
                <w:b/>
                <w:bCs/>
                <w:color w:val="FFFFFF" w:themeColor="background1"/>
                <w:sz w:val="16"/>
                <w:szCs w:val="16"/>
                <w:lang w:eastAsia="en-AU"/>
              </w:rPr>
              <w:t>CONTRACTED ABATEMENT (%)</w:t>
            </w:r>
          </w:p>
        </w:tc>
      </w:tr>
      <w:tr w:rsidR="008D1F43" w:rsidRPr="005206CA" w14:paraId="60E694E3" w14:textId="77777777" w:rsidTr="005B4A5B">
        <w:tc>
          <w:tcPr>
            <w:tcW w:w="0" w:type="auto"/>
          </w:tcPr>
          <w:p w14:paraId="635D10F0" w14:textId="77777777" w:rsidR="008D1F43" w:rsidRPr="005206CA" w:rsidRDefault="008D1F43" w:rsidP="005B4A5B">
            <w:pPr>
              <w:spacing w:before="40" w:after="40" w:line="240" w:lineRule="auto"/>
              <w:rPr>
                <w:rFonts w:cs="Arial"/>
                <w:b/>
                <w:sz w:val="16"/>
                <w:szCs w:val="16"/>
              </w:rPr>
            </w:pPr>
            <w:r w:rsidRPr="005206CA">
              <w:rPr>
                <w:rFonts w:cs="Arial"/>
                <w:b/>
                <w:bCs/>
                <w:sz w:val="16"/>
                <w:szCs w:val="16"/>
                <w:lang w:eastAsia="en-AU"/>
              </w:rPr>
              <w:t xml:space="preserve">Human-induced regeneration of a permanent even-aged native forest </w:t>
            </w:r>
          </w:p>
        </w:tc>
        <w:tc>
          <w:tcPr>
            <w:tcW w:w="6037" w:type="dxa"/>
          </w:tcPr>
          <w:p w14:paraId="045FA8E6" w14:textId="7B126321" w:rsidR="008D1F43" w:rsidRPr="005206CA" w:rsidRDefault="008D1F43" w:rsidP="005B4A5B">
            <w:pPr>
              <w:autoSpaceDE w:val="0"/>
              <w:autoSpaceDN w:val="0"/>
              <w:adjustRightInd w:val="0"/>
              <w:spacing w:before="40" w:after="40" w:line="200" w:lineRule="exact"/>
              <w:rPr>
                <w:rFonts w:cs="Arial"/>
                <w:color w:val="000000"/>
                <w:sz w:val="16"/>
                <w:szCs w:val="16"/>
                <w:lang w:eastAsia="en-AU"/>
              </w:rPr>
            </w:pPr>
            <w:r w:rsidRPr="005206CA">
              <w:rPr>
                <w:rFonts w:cs="Arial"/>
                <w:color w:val="000000"/>
                <w:sz w:val="16"/>
                <w:szCs w:val="16"/>
                <w:lang w:eastAsia="en-AU"/>
              </w:rPr>
              <w:t xml:space="preserve">Projects under this method credit carbon </w:t>
            </w:r>
            <w:r w:rsidR="00542A7E">
              <w:rPr>
                <w:rFonts w:cs="Arial"/>
                <w:color w:val="000000"/>
                <w:sz w:val="16"/>
                <w:szCs w:val="16"/>
                <w:lang w:eastAsia="en-AU"/>
              </w:rPr>
              <w:t>sequestered</w:t>
            </w:r>
            <w:r w:rsidRPr="005206CA">
              <w:rPr>
                <w:rFonts w:cs="Arial"/>
                <w:color w:val="000000"/>
                <w:sz w:val="16"/>
                <w:szCs w:val="16"/>
                <w:lang w:eastAsia="en-AU"/>
              </w:rPr>
              <w:t xml:space="preserve"> by changing land management practices to facilitate regeneration of a native forest on areas where there has been no forest cover for the ten years prior to the project beginning. The project is based on ceasing an activity that clears vegetation like grazing or clearing land with machinery. Landholders can also assist regeneration through activities such as excluding livestock from the project area, managing the timing and extent of grazing,</w:t>
            </w:r>
            <w:r w:rsidR="00466562" w:rsidRPr="005206CA">
              <w:rPr>
                <w:rFonts w:cs="Arial"/>
                <w:color w:val="000000"/>
                <w:sz w:val="16"/>
                <w:szCs w:val="16"/>
                <w:lang w:eastAsia="en-AU"/>
              </w:rPr>
              <w:t xml:space="preserve"> and</w:t>
            </w:r>
            <w:r w:rsidRPr="005206CA">
              <w:rPr>
                <w:rFonts w:cs="Arial"/>
                <w:color w:val="000000"/>
                <w:sz w:val="16"/>
                <w:szCs w:val="16"/>
                <w:lang w:eastAsia="en-AU"/>
              </w:rPr>
              <w:t xml:space="preserve"> managing feral animals and non-native plants in the project. Projects under this method are concentrated in western New South Wales and south-west Queensland.</w:t>
            </w:r>
          </w:p>
        </w:tc>
        <w:tc>
          <w:tcPr>
            <w:tcW w:w="1336" w:type="dxa"/>
          </w:tcPr>
          <w:p w14:paraId="64DF2DA2" w14:textId="0B40D019" w:rsidR="008D1F43" w:rsidRPr="005206CA" w:rsidRDefault="008D1F43" w:rsidP="005B4A5B">
            <w:pPr>
              <w:autoSpaceDE w:val="0"/>
              <w:autoSpaceDN w:val="0"/>
              <w:adjustRightInd w:val="0"/>
              <w:spacing w:before="40" w:after="40" w:line="200" w:lineRule="exact"/>
              <w:jc w:val="right"/>
              <w:rPr>
                <w:rFonts w:cs="Arial"/>
                <w:color w:val="000000"/>
                <w:sz w:val="16"/>
                <w:szCs w:val="16"/>
                <w:lang w:eastAsia="en-AU"/>
              </w:rPr>
            </w:pPr>
            <w:r w:rsidRPr="005206CA">
              <w:rPr>
                <w:rFonts w:cs="Arial"/>
                <w:color w:val="000000"/>
                <w:sz w:val="16"/>
                <w:szCs w:val="16"/>
                <w:lang w:eastAsia="en-AU"/>
              </w:rPr>
              <w:t>43</w:t>
            </w:r>
          </w:p>
        </w:tc>
      </w:tr>
      <w:tr w:rsidR="008D1F43" w:rsidRPr="005206CA" w14:paraId="246778E8" w14:textId="77777777" w:rsidTr="005B4A5B">
        <w:tc>
          <w:tcPr>
            <w:tcW w:w="0" w:type="auto"/>
          </w:tcPr>
          <w:p w14:paraId="08EABE08" w14:textId="77777777" w:rsidR="008D1F43" w:rsidRPr="005206CA" w:rsidRDefault="008D1F43" w:rsidP="005B4A5B">
            <w:pPr>
              <w:spacing w:before="40" w:after="40" w:line="240" w:lineRule="auto"/>
              <w:rPr>
                <w:rFonts w:cs="Arial"/>
                <w:b/>
                <w:bCs/>
                <w:sz w:val="16"/>
                <w:szCs w:val="16"/>
                <w:lang w:eastAsia="en-AU"/>
              </w:rPr>
            </w:pPr>
            <w:r w:rsidRPr="005206CA">
              <w:rPr>
                <w:rFonts w:cs="Arial"/>
                <w:b/>
                <w:sz w:val="16"/>
                <w:szCs w:val="16"/>
              </w:rPr>
              <w:t>Native forest from managed regrowth</w:t>
            </w:r>
          </w:p>
        </w:tc>
        <w:tc>
          <w:tcPr>
            <w:tcW w:w="6037" w:type="dxa"/>
          </w:tcPr>
          <w:p w14:paraId="3088EC29" w14:textId="77777777" w:rsidR="008D1F43" w:rsidRPr="005206CA" w:rsidRDefault="008D1F43" w:rsidP="005B4A5B">
            <w:pPr>
              <w:spacing w:before="40" w:after="40" w:line="200" w:lineRule="exact"/>
              <w:rPr>
                <w:rFonts w:cs="Arial"/>
                <w:color w:val="000000"/>
                <w:sz w:val="16"/>
                <w:szCs w:val="16"/>
                <w:lang w:eastAsia="en-AU"/>
              </w:rPr>
            </w:pPr>
            <w:r w:rsidRPr="005206CA">
              <w:rPr>
                <w:rFonts w:cs="Arial"/>
                <w:color w:val="000000"/>
                <w:sz w:val="16"/>
                <w:szCs w:val="16"/>
                <w:lang w:eastAsia="en-AU"/>
              </w:rPr>
              <w:t>This method is similar to human-induced regeneration except that the baseline requires one clearing event to show additionality.</w:t>
            </w:r>
          </w:p>
          <w:p w14:paraId="0FD89DAA" w14:textId="507BF751" w:rsidR="008D1F43" w:rsidRPr="005206CA" w:rsidRDefault="008D1F43" w:rsidP="005B4A5B">
            <w:pPr>
              <w:spacing w:before="40" w:after="40" w:line="200" w:lineRule="exact"/>
              <w:rPr>
                <w:rFonts w:cs="Arial"/>
                <w:color w:val="000000"/>
                <w:sz w:val="16"/>
                <w:szCs w:val="16"/>
                <w:lang w:eastAsia="en-AU"/>
              </w:rPr>
            </w:pPr>
            <w:r w:rsidRPr="005206CA">
              <w:rPr>
                <w:rFonts w:cs="Arial"/>
                <w:color w:val="000000"/>
                <w:sz w:val="16"/>
                <w:szCs w:val="16"/>
                <w:lang w:eastAsia="en-AU"/>
              </w:rPr>
              <w:t xml:space="preserve">Projects under this method sequester carbon by changing land management practices to regrow native forest on land where vegetation has been removed for grazing purposes. Landholders promote regrowth of native forest by stopping clearing, excluding livestock, changing the timing and extent of grazing, or managing non-native plant species or feral animals. </w:t>
            </w:r>
          </w:p>
        </w:tc>
        <w:tc>
          <w:tcPr>
            <w:tcW w:w="1336" w:type="dxa"/>
          </w:tcPr>
          <w:p w14:paraId="04254227" w14:textId="3ECBCD05" w:rsidR="008D1F43" w:rsidRPr="005206CA" w:rsidRDefault="00BA5B19" w:rsidP="00BA5B19">
            <w:pPr>
              <w:autoSpaceDE w:val="0"/>
              <w:autoSpaceDN w:val="0"/>
              <w:adjustRightInd w:val="0"/>
              <w:spacing w:before="40" w:after="40" w:line="200" w:lineRule="exact"/>
              <w:jc w:val="right"/>
              <w:rPr>
                <w:rFonts w:cs="Arial"/>
                <w:color w:val="000000"/>
                <w:sz w:val="16"/>
                <w:szCs w:val="16"/>
                <w:lang w:eastAsia="en-AU"/>
              </w:rPr>
            </w:pPr>
            <w:r w:rsidRPr="005206CA">
              <w:rPr>
                <w:rFonts w:cs="Arial"/>
                <w:sz w:val="16"/>
                <w:szCs w:val="16"/>
              </w:rPr>
              <w:t xml:space="preserve">2 </w:t>
            </w:r>
          </w:p>
        </w:tc>
      </w:tr>
      <w:tr w:rsidR="008D1F43" w:rsidRPr="005206CA" w14:paraId="3E956CAA" w14:textId="77777777" w:rsidTr="005B4A5B">
        <w:tc>
          <w:tcPr>
            <w:tcW w:w="0" w:type="auto"/>
          </w:tcPr>
          <w:p w14:paraId="3096329A" w14:textId="77777777" w:rsidR="008D1F43" w:rsidRPr="005206CA" w:rsidRDefault="008D1F43" w:rsidP="005B4A5B">
            <w:pPr>
              <w:spacing w:before="40" w:after="40" w:line="240" w:lineRule="auto"/>
              <w:rPr>
                <w:rFonts w:cs="Arial"/>
                <w:b/>
                <w:sz w:val="16"/>
                <w:szCs w:val="16"/>
              </w:rPr>
            </w:pPr>
            <w:r w:rsidRPr="005206CA">
              <w:rPr>
                <w:rFonts w:cs="Arial"/>
                <w:b/>
                <w:bCs/>
                <w:sz w:val="16"/>
                <w:szCs w:val="16"/>
                <w:lang w:eastAsia="en-AU"/>
              </w:rPr>
              <w:t>Avoided deforestation</w:t>
            </w:r>
          </w:p>
        </w:tc>
        <w:tc>
          <w:tcPr>
            <w:tcW w:w="6037" w:type="dxa"/>
          </w:tcPr>
          <w:p w14:paraId="0D1FFB04" w14:textId="77777777" w:rsidR="008D1F43" w:rsidRPr="005206CA" w:rsidRDefault="008D1F43" w:rsidP="005B4A5B">
            <w:pPr>
              <w:spacing w:before="40" w:after="40" w:line="200" w:lineRule="exact"/>
              <w:rPr>
                <w:rFonts w:cs="Arial"/>
                <w:color w:val="000000"/>
                <w:sz w:val="16"/>
                <w:szCs w:val="16"/>
                <w:lang w:eastAsia="en-AU"/>
              </w:rPr>
            </w:pPr>
            <w:r w:rsidRPr="005206CA">
              <w:rPr>
                <w:rFonts w:cs="Arial"/>
                <w:color w:val="000000"/>
                <w:sz w:val="16"/>
                <w:szCs w:val="16"/>
                <w:lang w:eastAsia="en-AU"/>
              </w:rPr>
              <w:t>This method applies to native forest which has received state government consent to be cleared (through land clearing permits) and converted to cropland or grassland prior to 1 July 2010. The business as usual additionality test for the project assumes that the land clearing permits would have been used and the land cleared.</w:t>
            </w:r>
          </w:p>
          <w:p w14:paraId="1EED7D5B" w14:textId="77777777" w:rsidR="008D1F43" w:rsidRPr="005206CA" w:rsidRDefault="008D1F43" w:rsidP="004B0005">
            <w:pPr>
              <w:spacing w:before="40" w:after="40" w:line="200" w:lineRule="exact"/>
              <w:rPr>
                <w:rFonts w:cs="Arial"/>
                <w:sz w:val="16"/>
                <w:szCs w:val="16"/>
              </w:rPr>
            </w:pPr>
            <w:r w:rsidRPr="005206CA">
              <w:rPr>
                <w:rFonts w:cs="Arial"/>
                <w:color w:val="000000"/>
                <w:sz w:val="16"/>
                <w:szCs w:val="16"/>
                <w:lang w:eastAsia="en-AU"/>
              </w:rPr>
              <w:t xml:space="preserve">Abatement is delivered by avoiding the emissions that clearing would have produced. Additional abatement may be achieved by managing the native forest in a way that enhances carbon stocks. All projects under this method are </w:t>
            </w:r>
            <w:r w:rsidR="0096341B" w:rsidRPr="005206CA">
              <w:rPr>
                <w:rFonts w:cs="Arial"/>
                <w:color w:val="000000"/>
                <w:sz w:val="16"/>
                <w:szCs w:val="16"/>
                <w:lang w:eastAsia="en-AU"/>
              </w:rPr>
              <w:t xml:space="preserve">located </w:t>
            </w:r>
            <w:r w:rsidRPr="005206CA">
              <w:rPr>
                <w:rFonts w:cs="Arial"/>
                <w:color w:val="000000"/>
                <w:sz w:val="16"/>
                <w:szCs w:val="16"/>
                <w:lang w:eastAsia="en-AU"/>
              </w:rPr>
              <w:t>in western New South Wales.</w:t>
            </w:r>
          </w:p>
        </w:tc>
        <w:tc>
          <w:tcPr>
            <w:tcW w:w="1336" w:type="dxa"/>
          </w:tcPr>
          <w:p w14:paraId="17EEC8AE" w14:textId="2B85168E" w:rsidR="008D1F43" w:rsidRPr="005206CA" w:rsidRDefault="008D1F43" w:rsidP="005B4A5B">
            <w:pPr>
              <w:spacing w:before="40" w:after="40" w:line="200" w:lineRule="exact"/>
              <w:jc w:val="right"/>
              <w:rPr>
                <w:rFonts w:cs="Arial"/>
                <w:sz w:val="16"/>
                <w:szCs w:val="16"/>
              </w:rPr>
            </w:pPr>
            <w:r w:rsidRPr="005206CA">
              <w:rPr>
                <w:rFonts w:cs="Arial"/>
                <w:sz w:val="16"/>
                <w:szCs w:val="16"/>
              </w:rPr>
              <w:t>14</w:t>
            </w:r>
          </w:p>
        </w:tc>
      </w:tr>
    </w:tbl>
    <w:p w14:paraId="63CF4606" w14:textId="06AD84F2" w:rsidR="0006626D" w:rsidRDefault="0006626D" w:rsidP="00AC7279">
      <w:pPr>
        <w:pStyle w:val="Footnote"/>
      </w:pPr>
      <w:r w:rsidRPr="00AC7279">
        <w:rPr>
          <w:b/>
        </w:rPr>
        <w:t>Source:</w:t>
      </w:r>
      <w:r>
        <w:t xml:space="preserve"> DoEE n.d.b.</w:t>
      </w:r>
    </w:p>
    <w:p w14:paraId="53D39F78" w14:textId="0C46F30B" w:rsidR="008D1F43" w:rsidRPr="005206CA" w:rsidRDefault="008D1F43" w:rsidP="00AC7279">
      <w:pPr>
        <w:spacing w:before="240"/>
      </w:pPr>
      <w:r w:rsidRPr="005206CA">
        <w:t xml:space="preserve">Under the managed regrowth method, land need only have been cleared once prior to the project being established. </w:t>
      </w:r>
      <w:r w:rsidR="00A57A29" w:rsidRPr="005206CA">
        <w:t>To be conservative, the method specifies a default clearing cycle of 15 years.</w:t>
      </w:r>
    </w:p>
    <w:p w14:paraId="78999342" w14:textId="23272D24" w:rsidR="008D1F43" w:rsidRPr="005206CA" w:rsidRDefault="008D1F43" w:rsidP="008D1F43">
      <w:r w:rsidRPr="005206CA">
        <w:t>Project activity for this method takes the form of a decision not to re-clear native vegetation</w:t>
      </w:r>
      <w:r w:rsidR="006749FD" w:rsidRPr="005206CA">
        <w:t>,</w:t>
      </w:r>
      <w:r w:rsidRPr="005206CA">
        <w:t xml:space="preserve"> which may have been re-growing since the last clearing event. Vegetation that grew from the last clearing event (possibly 10 years ago</w:t>
      </w:r>
      <w:r w:rsidR="0096341B" w:rsidRPr="005206CA">
        <w:t xml:space="preserve"> or more</w:t>
      </w:r>
      <w:r w:rsidRPr="005206CA">
        <w:t>) is credited as project abatement. This means that projects under the method may not align well with the ERF’s additionality requirement for newness.</w:t>
      </w:r>
    </w:p>
    <w:p w14:paraId="36B354EC" w14:textId="13ABD35B" w:rsidR="008D1F43" w:rsidRPr="005206CA" w:rsidRDefault="008D1F43" w:rsidP="008D1F43">
      <w:r w:rsidRPr="005206CA">
        <w:t xml:space="preserve">On the other hand, the method does mean that because of the permanence obligations, the land will not be cleared for at least 25 years and the opportunity cost of not clearing over an extended period could be seen as helping to make the project additional. That said, it is difficult to argue that a single clearing event constitutes a trend and provides a robust counterfactual baseline that the land would have been cleared in the absence of the scheme. </w:t>
      </w:r>
    </w:p>
    <w:p w14:paraId="191C4981" w14:textId="55656457" w:rsidR="00AF1D70" w:rsidRPr="005206CA" w:rsidRDefault="008D1F43" w:rsidP="00E55312">
      <w:r w:rsidRPr="005206CA">
        <w:t>Concerns have also been raised about the avoided deforestation method, which relies on landholders relinquishing clearing permits issued by the N</w:t>
      </w:r>
      <w:r w:rsidR="00444E1F" w:rsidRPr="005206CA">
        <w:t xml:space="preserve">ew </w:t>
      </w:r>
      <w:r w:rsidRPr="005206CA">
        <w:t>S</w:t>
      </w:r>
      <w:r w:rsidR="00444E1F" w:rsidRPr="005206CA">
        <w:t xml:space="preserve">outh </w:t>
      </w:r>
      <w:r w:rsidRPr="005206CA">
        <w:t>W</w:t>
      </w:r>
      <w:r w:rsidR="00444E1F" w:rsidRPr="005206CA">
        <w:t>ales (NSW)</w:t>
      </w:r>
      <w:r w:rsidRPr="005206CA">
        <w:t xml:space="preserve"> </w:t>
      </w:r>
      <w:r w:rsidR="00C92EA0" w:rsidRPr="005206CA">
        <w:t>G</w:t>
      </w:r>
      <w:r w:rsidRPr="005206CA">
        <w:t xml:space="preserve">overnment before 2010 when the CFI was first announced by the Australian Government (Paul Burke, NSW Farmers 2017 </w:t>
      </w:r>
      <w:r w:rsidR="002874CD" w:rsidRPr="005206CA">
        <w:t>r</w:t>
      </w:r>
      <w:r w:rsidRPr="005206CA">
        <w:t xml:space="preserve">eview submissions). Stakeholders have concerns that despite farmers holding permits to clear, the land was in fact not going to be cleared and the ERF has resulted in windfall gains to some landholders. There is evidence to suggest that this </w:t>
      </w:r>
      <w:r w:rsidR="001455B1" w:rsidRPr="005206CA">
        <w:t xml:space="preserve">may not be </w:t>
      </w:r>
      <w:r w:rsidRPr="005206CA">
        <w:t xml:space="preserve">the case. </w:t>
      </w:r>
    </w:p>
    <w:p w14:paraId="2633C82F" w14:textId="41D7F525" w:rsidR="00132282" w:rsidRPr="005206CA" w:rsidRDefault="0007060A" w:rsidP="00E55312">
      <w:pPr>
        <w:rPr>
          <w:rFonts w:eastAsiaTheme="minorHAnsi" w:cstheme="minorBidi"/>
          <w:caps/>
          <w:color w:val="159DCE"/>
        </w:rPr>
      </w:pPr>
      <w:r w:rsidRPr="005206CA">
        <w:t xml:space="preserve">As </w:t>
      </w:r>
      <w:r w:rsidR="00132282" w:rsidRPr="005206CA">
        <w:fldChar w:fldCharType="begin"/>
      </w:r>
      <w:r w:rsidR="00132282" w:rsidRPr="005206CA">
        <w:instrText xml:space="preserve"> REF _Ref499132282 \h </w:instrText>
      </w:r>
      <w:r w:rsidR="005206CA">
        <w:instrText xml:space="preserve"> \* MERGEFORMAT </w:instrText>
      </w:r>
      <w:r w:rsidR="00132282" w:rsidRPr="005206CA">
        <w:fldChar w:fldCharType="separate"/>
      </w:r>
      <w:r w:rsidR="00FA2002" w:rsidRPr="005206CA">
        <w:t xml:space="preserve">Figure </w:t>
      </w:r>
      <w:r w:rsidR="00FA2002">
        <w:rPr>
          <w:noProof/>
        </w:rPr>
        <w:t>4</w:t>
      </w:r>
      <w:r w:rsidR="00132282" w:rsidRPr="005206CA">
        <w:fldChar w:fldCharType="end"/>
      </w:r>
      <w:r w:rsidR="00132282" w:rsidRPr="005206CA">
        <w:t xml:space="preserve"> </w:t>
      </w:r>
      <w:r w:rsidRPr="005206CA">
        <w:t xml:space="preserve">shows, the rate of clearing in the </w:t>
      </w:r>
      <w:r w:rsidR="001C391A">
        <w:t>w</w:t>
      </w:r>
      <w:r w:rsidRPr="005206CA">
        <w:t xml:space="preserve">estern region of </w:t>
      </w:r>
      <w:r w:rsidR="00444E1F" w:rsidRPr="005206CA">
        <w:t>NSW</w:t>
      </w:r>
      <w:r w:rsidRPr="005206CA">
        <w:t xml:space="preserve"> (where all the avoided deforestation projects are) has declined significantly since 2011 when the CFI was announced. The significant decline in clearing is consistent with the hypothesis that the avoided deforestation method has conserved forest that would have otherwise been cleared. The decline in clearing could also </w:t>
      </w:r>
      <w:r w:rsidR="00181628" w:rsidRPr="005206CA">
        <w:t xml:space="preserve">have </w:t>
      </w:r>
      <w:r w:rsidRPr="005206CA">
        <w:t>be</w:t>
      </w:r>
      <w:r w:rsidR="00181628" w:rsidRPr="005206CA">
        <w:t>en</w:t>
      </w:r>
      <w:r w:rsidRPr="005206CA">
        <w:t xml:space="preserve"> driven by other factors such as commodity prices and weather, which have not been analysed here. </w:t>
      </w:r>
    </w:p>
    <w:p w14:paraId="0A64A430" w14:textId="7645C58E" w:rsidR="00132282" w:rsidRPr="005206CA" w:rsidRDefault="00132282" w:rsidP="00A6433C">
      <w:pPr>
        <w:pStyle w:val="CCAFigure"/>
      </w:pPr>
      <w:bookmarkStart w:id="563" w:name="_Ref499132282"/>
      <w:bookmarkStart w:id="564" w:name="_Toc500251055"/>
      <w:bookmarkStart w:id="565" w:name="_Toc500251330"/>
      <w:bookmarkStart w:id="566" w:name="_Toc500253927"/>
      <w:bookmarkStart w:id="567" w:name="_Toc500490918"/>
      <w:bookmarkStart w:id="568" w:name="_Toc500513613"/>
      <w:bookmarkStart w:id="569" w:name="_Toc500516172"/>
      <w:r w:rsidRPr="005206CA">
        <w:t xml:space="preserve">Figure </w:t>
      </w:r>
      <w:r w:rsidR="00FA2002">
        <w:fldChar w:fldCharType="begin"/>
      </w:r>
      <w:r w:rsidR="00FA2002">
        <w:instrText xml:space="preserve"> SEQ Figure \* ARABIC </w:instrText>
      </w:r>
      <w:r w:rsidR="00FA2002">
        <w:fldChar w:fldCharType="separate"/>
      </w:r>
      <w:r w:rsidR="00FA2002">
        <w:rPr>
          <w:noProof/>
        </w:rPr>
        <w:t>4</w:t>
      </w:r>
      <w:r w:rsidR="00FA2002">
        <w:rPr>
          <w:noProof/>
        </w:rPr>
        <w:fldChar w:fldCharType="end"/>
      </w:r>
      <w:bookmarkEnd w:id="563"/>
      <w:r w:rsidR="00AA7037" w:rsidRPr="005206CA">
        <w:rPr>
          <w:noProof/>
        </w:rPr>
        <w:t>:</w:t>
      </w:r>
      <w:r w:rsidRPr="005206CA">
        <w:t xml:space="preserve"> Rate of clearing for NSW by region</w:t>
      </w:r>
      <w:bookmarkEnd w:id="564"/>
      <w:bookmarkEnd w:id="565"/>
      <w:bookmarkEnd w:id="566"/>
      <w:bookmarkEnd w:id="567"/>
      <w:bookmarkEnd w:id="568"/>
      <w:bookmarkEnd w:id="569"/>
    </w:p>
    <w:p w14:paraId="150682DA" w14:textId="203BB50F" w:rsidR="0007060A" w:rsidRPr="005206CA" w:rsidRDefault="003D6D22" w:rsidP="008D1F43">
      <w:r>
        <w:rPr>
          <w:noProof/>
          <w:lang w:eastAsia="en-AU"/>
        </w:rPr>
        <w:drawing>
          <wp:inline distT="0" distB="0" distL="0" distR="0" wp14:anchorId="27E93915" wp14:editId="5C635056">
            <wp:extent cx="5733229" cy="3560445"/>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3229" cy="3560445"/>
                    </a:xfrm>
                    <a:prstGeom prst="rect">
                      <a:avLst/>
                    </a:prstGeom>
                    <a:noFill/>
                  </pic:spPr>
                </pic:pic>
              </a:graphicData>
            </a:graphic>
          </wp:inline>
        </w:drawing>
      </w:r>
    </w:p>
    <w:p w14:paraId="33431CF4" w14:textId="2BF4A78A" w:rsidR="00056722" w:rsidRPr="005206CA" w:rsidRDefault="0007060A" w:rsidP="00AC7279">
      <w:pPr>
        <w:pStyle w:val="Footnote"/>
        <w:spacing w:after="0"/>
        <w:rPr>
          <w:b/>
        </w:rPr>
      </w:pPr>
      <w:r w:rsidRPr="00AC7279">
        <w:rPr>
          <w:b/>
        </w:rPr>
        <w:t>Note</w:t>
      </w:r>
      <w:r w:rsidRPr="005206CA">
        <w:t>:</w:t>
      </w:r>
      <w:r w:rsidRPr="005206CA" w:rsidDel="00D37019">
        <w:t xml:space="preserve"> </w:t>
      </w:r>
      <w:r w:rsidRPr="005206CA">
        <w:t xml:space="preserve">Clearing refers to forest conversion (first recorded human-induced conversion of forest to a non-forest land use in the satellite record, 1972-2014). The fluctuations in the rate of forest conversion over the period 2003-2006 are explained by the introduction of new land clearing laws over this period under the </w:t>
      </w:r>
      <w:r w:rsidRPr="005206CA">
        <w:rPr>
          <w:i/>
        </w:rPr>
        <w:t>Native Vegetation Act 2003</w:t>
      </w:r>
      <w:r w:rsidRPr="005206CA">
        <w:t xml:space="preserve"> (NSW), which commenced in 2005. </w:t>
      </w:r>
      <w:r w:rsidR="00AE1B6B" w:rsidRPr="005206CA">
        <w:t>While the avoided deforestation method took effect in 2012, it was being developed prior to this and the C</w:t>
      </w:r>
      <w:r w:rsidR="00444E1F" w:rsidRPr="005206CA">
        <w:t xml:space="preserve">arbon </w:t>
      </w:r>
      <w:r w:rsidR="00AE1B6B" w:rsidRPr="005206CA">
        <w:t>S</w:t>
      </w:r>
      <w:r w:rsidR="00444E1F" w:rsidRPr="005206CA">
        <w:t xml:space="preserve">ervice </w:t>
      </w:r>
      <w:r w:rsidR="00AE1B6B" w:rsidRPr="005206CA">
        <w:t>P</w:t>
      </w:r>
      <w:r w:rsidR="00444E1F" w:rsidRPr="005206CA">
        <w:t>rovider</w:t>
      </w:r>
      <w:r w:rsidR="00AE1B6B" w:rsidRPr="005206CA">
        <w:t xml:space="preserve"> GreenCollar is known to have been in negotiations with relevant landholders prior to the method’s </w:t>
      </w:r>
      <w:r w:rsidR="00770AAD" w:rsidRPr="005206CA">
        <w:t>commencement</w:t>
      </w:r>
      <w:r w:rsidR="00AE1B6B" w:rsidRPr="005206CA">
        <w:t>.</w:t>
      </w:r>
    </w:p>
    <w:p w14:paraId="6D4661FB" w14:textId="79CA5AB8" w:rsidR="003D6D22" w:rsidRDefault="005A63B7" w:rsidP="00AC7279">
      <w:pPr>
        <w:pStyle w:val="Footnote"/>
        <w:spacing w:after="0"/>
      </w:pPr>
      <w:r w:rsidRPr="00AC7279">
        <w:rPr>
          <w:b/>
        </w:rPr>
        <w:t>Source</w:t>
      </w:r>
      <w:r w:rsidRPr="005206CA">
        <w:t>: Evans</w:t>
      </w:r>
      <w:r w:rsidRPr="005206CA" w:rsidDel="00764AC2">
        <w:t xml:space="preserve"> </w:t>
      </w:r>
      <w:r w:rsidR="00D23A57">
        <w:t>&amp;</w:t>
      </w:r>
      <w:r w:rsidRPr="005206CA">
        <w:t xml:space="preserve"> Macintos</w:t>
      </w:r>
      <w:r w:rsidR="00764AC2" w:rsidRPr="005206CA">
        <w:t>h</w:t>
      </w:r>
      <w:r w:rsidR="008B11B3">
        <w:t xml:space="preserve"> 2017</w:t>
      </w:r>
      <w:r w:rsidR="008E25EF" w:rsidDel="008B11B3">
        <w:t>.</w:t>
      </w:r>
    </w:p>
    <w:p w14:paraId="2B3C76CA" w14:textId="630736A8" w:rsidR="00764AC2" w:rsidRPr="005206CA" w:rsidRDefault="00764AC2" w:rsidP="00AC7279">
      <w:pPr>
        <w:pStyle w:val="Footnote"/>
        <w:spacing w:after="0"/>
      </w:pPr>
    </w:p>
    <w:p w14:paraId="345AC7C0" w14:textId="4217F8F6" w:rsidR="008D1F43" w:rsidRPr="005206CA" w:rsidRDefault="008D1F43" w:rsidP="008D1F43">
      <w:r w:rsidRPr="005206CA">
        <w:t xml:space="preserve">Some stakeholders </w:t>
      </w:r>
      <w:r w:rsidR="00B72252">
        <w:t>said</w:t>
      </w:r>
      <w:r w:rsidR="00F51ED6" w:rsidRPr="005206CA">
        <w:t xml:space="preserve"> that the Australian G</w:t>
      </w:r>
      <w:r w:rsidRPr="005206CA">
        <w:t>overnment could have bought the land where many human-induced regrowth projects are established for less than the price it paid for the ERF contracted ACCUs</w:t>
      </w:r>
      <w:r w:rsidR="007D4376" w:rsidRPr="005206CA">
        <w:t xml:space="preserve"> (Paul Burke’s submission </w:t>
      </w:r>
      <w:r w:rsidR="00E93793" w:rsidRPr="005206CA">
        <w:t>on</w:t>
      </w:r>
      <w:r w:rsidR="007D4376" w:rsidRPr="005206CA">
        <w:t xml:space="preserve"> this review</w:t>
      </w:r>
      <w:r w:rsidR="00E93793" w:rsidRPr="005206CA">
        <w:t xml:space="preserve">, NSW Farmers’ Association submission on </w:t>
      </w:r>
      <w:r w:rsidR="002874CD" w:rsidRPr="005206CA">
        <w:t xml:space="preserve">the </w:t>
      </w:r>
      <w:r w:rsidR="00E93793" w:rsidRPr="005206CA">
        <w:t>2017 review</w:t>
      </w:r>
      <w:r w:rsidR="00F83B10" w:rsidRPr="005206CA">
        <w:t xml:space="preserve">, </w:t>
      </w:r>
      <w:r w:rsidR="00051235" w:rsidRPr="005206CA">
        <w:rPr>
          <w:rStyle w:val="In-textChar"/>
        </w:rPr>
        <w:t xml:space="preserve">Blakers </w:t>
      </w:r>
      <w:r w:rsidR="00233EF1">
        <w:rPr>
          <w:rStyle w:val="In-textChar"/>
        </w:rPr>
        <w:t>&amp;</w:t>
      </w:r>
      <w:r w:rsidR="00233EF1" w:rsidRPr="005206CA">
        <w:rPr>
          <w:rStyle w:val="In-textChar"/>
        </w:rPr>
        <w:t xml:space="preserve"> </w:t>
      </w:r>
      <w:r w:rsidR="00051235" w:rsidRPr="005206CA">
        <w:rPr>
          <w:rStyle w:val="In-textChar"/>
        </w:rPr>
        <w:t>Considine 2016</w:t>
      </w:r>
      <w:r w:rsidR="00A07449" w:rsidRPr="005206CA">
        <w:t>)</w:t>
      </w:r>
      <w:r w:rsidRPr="005206CA">
        <w:t>. The Authority recognises the concern about whether these human-induced regrowth projects reflect value for tax payer money but is of the view that this is a separate issue to questions of additionality. Furthermore, the human-induced regrowth projects will also require ongoing management, which carries costs.</w:t>
      </w:r>
    </w:p>
    <w:p w14:paraId="19ADDF6D" w14:textId="77777777" w:rsidR="008D1F43" w:rsidRPr="005206CA" w:rsidRDefault="008D1F43">
      <w:pPr>
        <w:pStyle w:val="Heading3"/>
      </w:pPr>
      <w:bookmarkStart w:id="570" w:name="_Ref500490144"/>
      <w:r w:rsidRPr="005206CA">
        <w:t>Landfill gas</w:t>
      </w:r>
      <w:bookmarkEnd w:id="570"/>
    </w:p>
    <w:p w14:paraId="3E6127CC" w14:textId="6D1677F5" w:rsidR="008D1F43" w:rsidRPr="005206CA" w:rsidRDefault="008D1F43" w:rsidP="008D1F43">
      <w:r w:rsidRPr="005206CA">
        <w:t xml:space="preserve">The ERF regulatory additionality requirement aims to ensure that </w:t>
      </w:r>
      <w:r w:rsidR="00AE2E84" w:rsidRPr="005206CA">
        <w:t xml:space="preserve">emissions reduction </w:t>
      </w:r>
      <w:r w:rsidRPr="005206CA">
        <w:t xml:space="preserve">activities required under state, territory or Australian government regulation are not eligible under the ERF. </w:t>
      </w:r>
    </w:p>
    <w:p w14:paraId="304096BA" w14:textId="77777777" w:rsidR="008D1F43" w:rsidRPr="005206CA" w:rsidRDefault="008D1F43" w:rsidP="008D1F43">
      <w:r w:rsidRPr="005206CA">
        <w:t xml:space="preserve">States and territories differ in the amount of gas that they require </w:t>
      </w:r>
      <w:r w:rsidR="00F51ED6" w:rsidRPr="005206CA">
        <w:t xml:space="preserve">to </w:t>
      </w:r>
      <w:r w:rsidRPr="005206CA">
        <w:t>be flared or captured from landfills. Regulation can take the form of a state wide regulation or site specific licence conditions. These individual licence conditions also vary markedly in terms of how much capture they require and the nature of the obligation. Some smaller landfills are not subject to any requirement to flare methane.</w:t>
      </w:r>
    </w:p>
    <w:p w14:paraId="38E31A57" w14:textId="31A0AB91" w:rsidR="008D1F43" w:rsidRPr="005206CA" w:rsidRDefault="008D1F43" w:rsidP="008D1F43">
      <w:r w:rsidRPr="005206CA">
        <w:t xml:space="preserve">To manage the differences between and within states, a standard, national default baseline of 30 per cent was set for projects under the landfill gas method </w:t>
      </w:r>
      <w:r w:rsidR="00FB5DD6" w:rsidRPr="005206CA">
        <w:t xml:space="preserve">(if they </w:t>
      </w:r>
      <w:r w:rsidR="004A4C24" w:rsidRPr="005206CA">
        <w:t xml:space="preserve">were </w:t>
      </w:r>
      <w:r w:rsidR="00FB5DD6" w:rsidRPr="005206CA">
        <w:t xml:space="preserve">not subject to a </w:t>
      </w:r>
      <w:r w:rsidR="0040084F" w:rsidRPr="005206CA">
        <w:t xml:space="preserve">higher </w:t>
      </w:r>
      <w:r w:rsidR="00FB5DD6" w:rsidRPr="005206CA">
        <w:t xml:space="preserve">quantitative limit on emissions by the state or local government) </w:t>
      </w:r>
      <w:r w:rsidRPr="005206CA">
        <w:t xml:space="preserve">as a way to operationalise the regulatory additionality requirement for the CFI. This means that the total amount of methane combusted under the project was subject to a 30 per cent deduction before it could earn ACCUs. Setting a </w:t>
      </w:r>
      <w:r w:rsidR="00246090" w:rsidRPr="005206CA">
        <w:t xml:space="preserve">national </w:t>
      </w:r>
      <w:r w:rsidRPr="005206CA">
        <w:t xml:space="preserve">regulated baseline was part of an agreement reached with minor parliamentary parties to pass the original CFI legislation. </w:t>
      </w:r>
    </w:p>
    <w:p w14:paraId="2AC44124" w14:textId="537635AD" w:rsidR="004A4C24" w:rsidRDefault="004A4C24" w:rsidP="004A4C24">
      <w:r w:rsidRPr="005206CA">
        <w:t xml:space="preserve">The 30 per cent </w:t>
      </w:r>
      <w:r w:rsidR="009400CF" w:rsidRPr="005206CA">
        <w:t xml:space="preserve">regulatory baseline </w:t>
      </w:r>
      <w:r w:rsidR="00AE2E84" w:rsidRPr="005206CA">
        <w:t xml:space="preserve">does not apply if </w:t>
      </w:r>
      <w:r w:rsidRPr="005206CA">
        <w:t>the landfill is subject to a state-wide or specific licence condition that requires a higher level of abatement</w:t>
      </w:r>
      <w:r w:rsidR="00AE2E84" w:rsidRPr="005206CA">
        <w:t xml:space="preserve"> or</w:t>
      </w:r>
      <w:r w:rsidRPr="005206CA">
        <w:t xml:space="preserve"> if the landfill is not subject to any quantitative or qualitative limits - in those cases, landfills have a zero regulatory baseline</w:t>
      </w:r>
      <w:r w:rsidR="00FB1C0A">
        <w:t>(Table 4)</w:t>
      </w:r>
      <w:r w:rsidRPr="005206CA">
        <w:t>.</w:t>
      </w:r>
    </w:p>
    <w:p w14:paraId="6B5A7295" w14:textId="78CD3876" w:rsidR="00A57A29" w:rsidRDefault="00AE1282" w:rsidP="008D1F43">
      <w:r>
        <w:t>T</w:t>
      </w:r>
      <w:r w:rsidR="009400CF" w:rsidRPr="0038754B">
        <w:t xml:space="preserve">he regulatory baseline </w:t>
      </w:r>
      <w:r w:rsidR="00B72252">
        <w:t xml:space="preserve">also </w:t>
      </w:r>
      <w:r w:rsidR="009400CF" w:rsidRPr="0038754B">
        <w:t>d</w:t>
      </w:r>
      <w:r>
        <w:t xml:space="preserve">oes </w:t>
      </w:r>
      <w:r w:rsidR="009400CF" w:rsidRPr="0038754B">
        <w:t>not apply to a number of landfill gas projects that transitioned in</w:t>
      </w:r>
      <w:r w:rsidR="00A0098B" w:rsidRPr="0038754B">
        <w:t>to</w:t>
      </w:r>
      <w:r w:rsidR="009400CF" w:rsidRPr="0038754B">
        <w:t xml:space="preserve"> first</w:t>
      </w:r>
      <w:r w:rsidR="00A0098B" w:rsidRPr="0038754B">
        <w:t>ly</w:t>
      </w:r>
      <w:r w:rsidR="009400CF" w:rsidRPr="0038754B">
        <w:t xml:space="preserve"> the CFI and then the ERF from earlier offset schemes</w:t>
      </w:r>
      <w:r w:rsidR="00FB5DD6" w:rsidRPr="0038754B">
        <w:t xml:space="preserve"> that have since been wound up</w:t>
      </w:r>
      <w:r w:rsidR="009400CF" w:rsidRPr="0038754B">
        <w:t xml:space="preserve">. The default baseline for projects transitioning from </w:t>
      </w:r>
      <w:r w:rsidR="00FB5DD6" w:rsidRPr="0038754B">
        <w:t xml:space="preserve">the NSW Greenhouse Gas Abatement </w:t>
      </w:r>
      <w:r w:rsidR="003801B5">
        <w:t>(GGAS)</w:t>
      </w:r>
      <w:r w:rsidR="00FB5DD6" w:rsidRPr="0038754B">
        <w:t xml:space="preserve"> </w:t>
      </w:r>
      <w:r w:rsidR="004A41AD" w:rsidRPr="0038754B">
        <w:t>S</w:t>
      </w:r>
      <w:r w:rsidR="00FB5DD6" w:rsidRPr="0038754B">
        <w:t xml:space="preserve">cheme </w:t>
      </w:r>
      <w:r w:rsidR="009400CF" w:rsidRPr="0038754B">
        <w:t>is 24 per cent and zero per cent for projects transitioning from Greenhouse Friendly</w:t>
      </w:r>
      <w:r w:rsidR="00A57A29">
        <w:t xml:space="preserve"> (</w:t>
      </w:r>
      <w:r w:rsidR="003521C3">
        <w:fldChar w:fldCharType="begin"/>
      </w:r>
      <w:r w:rsidR="003521C3">
        <w:instrText xml:space="preserve"> REF _Ref500242438 \h </w:instrText>
      </w:r>
      <w:r w:rsidR="003521C3">
        <w:fldChar w:fldCharType="separate"/>
      </w:r>
      <w:r w:rsidR="00FA2002" w:rsidRPr="00B72252">
        <w:t xml:space="preserve">Table </w:t>
      </w:r>
      <w:r w:rsidR="00FA2002">
        <w:rPr>
          <w:noProof/>
        </w:rPr>
        <w:t>4</w:t>
      </w:r>
      <w:r w:rsidR="003521C3">
        <w:fldChar w:fldCharType="end"/>
      </w:r>
      <w:r w:rsidR="00A57A29">
        <w:t>)</w:t>
      </w:r>
      <w:r w:rsidR="009400CF" w:rsidRPr="0038754B">
        <w:t xml:space="preserve">. </w:t>
      </w:r>
    </w:p>
    <w:p w14:paraId="1B3CC8D2" w14:textId="4E966230" w:rsidR="003521C3" w:rsidRPr="00B72252" w:rsidRDefault="003521C3" w:rsidP="00B72252">
      <w:pPr>
        <w:pStyle w:val="CCAFigure"/>
      </w:pPr>
      <w:bookmarkStart w:id="571" w:name="_Ref500242438"/>
      <w:bookmarkStart w:id="572" w:name="_Toc500251043"/>
      <w:bookmarkStart w:id="573" w:name="_Toc500251318"/>
      <w:bookmarkStart w:id="574" w:name="_Toc500253915"/>
      <w:bookmarkStart w:id="575" w:name="_Toc500400118"/>
      <w:bookmarkStart w:id="576" w:name="_Toc500490906"/>
      <w:bookmarkStart w:id="577" w:name="_Toc500513622"/>
      <w:bookmarkStart w:id="578" w:name="_Toc500516160"/>
      <w:r w:rsidRPr="00B72252">
        <w:t xml:space="preserve">Table </w:t>
      </w:r>
      <w:r w:rsidR="00FA2002">
        <w:fldChar w:fldCharType="begin"/>
      </w:r>
      <w:r w:rsidR="00FA2002">
        <w:instrText xml:space="preserve"> SEQ Table \* ARABIC </w:instrText>
      </w:r>
      <w:r w:rsidR="00FA2002">
        <w:fldChar w:fldCharType="separate"/>
      </w:r>
      <w:r w:rsidR="00FA2002">
        <w:rPr>
          <w:noProof/>
        </w:rPr>
        <w:t>4</w:t>
      </w:r>
      <w:r w:rsidR="00FA2002">
        <w:rPr>
          <w:noProof/>
        </w:rPr>
        <w:fldChar w:fldCharType="end"/>
      </w:r>
      <w:bookmarkEnd w:id="571"/>
      <w:r w:rsidRPr="00B72252">
        <w:t>: Landfill baselines for new or transitioning projects under the ERF</w:t>
      </w:r>
      <w:bookmarkEnd w:id="572"/>
      <w:bookmarkEnd w:id="573"/>
      <w:bookmarkEnd w:id="574"/>
      <w:bookmarkEnd w:id="575"/>
      <w:bookmarkEnd w:id="576"/>
      <w:bookmarkEnd w:id="577"/>
      <w:bookmarkEnd w:id="578"/>
    </w:p>
    <w:tbl>
      <w:tblPr>
        <w:tblW w:w="9624" w:type="dxa"/>
        <w:tblCellMar>
          <w:left w:w="0" w:type="dxa"/>
          <w:right w:w="0" w:type="dxa"/>
        </w:tblCellMar>
        <w:tblLook w:val="04A0" w:firstRow="1" w:lastRow="0" w:firstColumn="1" w:lastColumn="0" w:noHBand="0" w:noVBand="1"/>
      </w:tblPr>
      <w:tblGrid>
        <w:gridCol w:w="4846"/>
        <w:gridCol w:w="4778"/>
      </w:tblGrid>
      <w:tr w:rsidR="00A57A29" w:rsidRPr="00B72252" w14:paraId="2BD3700C" w14:textId="77777777" w:rsidTr="00B72252">
        <w:trPr>
          <w:trHeight w:val="565"/>
        </w:trPr>
        <w:tc>
          <w:tcPr>
            <w:tcW w:w="4846" w:type="dxa"/>
            <w:shd w:val="clear" w:color="auto" w:fill="159DCE"/>
            <w:tcMar>
              <w:top w:w="0" w:type="dxa"/>
              <w:left w:w="108" w:type="dxa"/>
              <w:bottom w:w="0" w:type="dxa"/>
              <w:right w:w="108" w:type="dxa"/>
            </w:tcMar>
            <w:hideMark/>
          </w:tcPr>
          <w:p w14:paraId="48166089" w14:textId="6FC7B73B" w:rsidR="00A57A29" w:rsidRPr="00B72252" w:rsidRDefault="00353C56">
            <w:pPr>
              <w:spacing w:after="100"/>
              <w:rPr>
                <w:rFonts w:cs="Arial"/>
                <w:b/>
                <w:bCs/>
                <w:color w:val="FFFFFF" w:themeColor="background1"/>
                <w:sz w:val="16"/>
                <w:szCs w:val="16"/>
                <w:lang w:eastAsia="en-AU"/>
              </w:rPr>
            </w:pPr>
            <w:r w:rsidRPr="00B72252">
              <w:rPr>
                <w:rFonts w:cs="Arial"/>
                <w:b/>
                <w:bCs/>
                <w:color w:val="FFFFFF" w:themeColor="background1"/>
                <w:sz w:val="16"/>
                <w:szCs w:val="16"/>
                <w:lang w:eastAsia="en-AU"/>
              </w:rPr>
              <w:t>REGULATION</w:t>
            </w:r>
          </w:p>
        </w:tc>
        <w:tc>
          <w:tcPr>
            <w:tcW w:w="4778" w:type="dxa"/>
            <w:shd w:val="clear" w:color="auto" w:fill="159DCE"/>
            <w:tcMar>
              <w:top w:w="0" w:type="dxa"/>
              <w:left w:w="108" w:type="dxa"/>
              <w:bottom w:w="0" w:type="dxa"/>
              <w:right w:w="108" w:type="dxa"/>
            </w:tcMar>
            <w:hideMark/>
          </w:tcPr>
          <w:p w14:paraId="79DE34ED" w14:textId="77777777" w:rsidR="00867FDC" w:rsidRDefault="00353C56">
            <w:pPr>
              <w:spacing w:after="100"/>
              <w:rPr>
                <w:rFonts w:cs="Arial"/>
                <w:b/>
                <w:bCs/>
                <w:color w:val="FFFFFF" w:themeColor="background1"/>
                <w:sz w:val="16"/>
                <w:szCs w:val="16"/>
                <w:lang w:eastAsia="en-AU"/>
              </w:rPr>
            </w:pPr>
            <w:r w:rsidRPr="00B72252">
              <w:rPr>
                <w:rFonts w:cs="Arial"/>
                <w:b/>
                <w:bCs/>
                <w:color w:val="FFFFFF" w:themeColor="background1"/>
                <w:sz w:val="16"/>
                <w:szCs w:val="16"/>
                <w:lang w:eastAsia="en-AU"/>
              </w:rPr>
              <w:t xml:space="preserve">BASELINE UNDER THE ERF </w:t>
            </w:r>
          </w:p>
          <w:p w14:paraId="1D8253BE" w14:textId="5CA159EA" w:rsidR="00A57A29" w:rsidRPr="00B72252" w:rsidRDefault="00353C56">
            <w:pPr>
              <w:spacing w:after="100"/>
              <w:rPr>
                <w:rFonts w:cs="Arial"/>
                <w:b/>
                <w:bCs/>
                <w:color w:val="FFFFFF" w:themeColor="background1"/>
                <w:sz w:val="16"/>
                <w:szCs w:val="16"/>
                <w:lang w:eastAsia="en-AU"/>
              </w:rPr>
            </w:pPr>
            <w:r w:rsidRPr="00B72252">
              <w:rPr>
                <w:rFonts w:cs="Arial"/>
                <w:b/>
                <w:bCs/>
                <w:color w:val="FFFFFF" w:themeColor="background1"/>
                <w:sz w:val="16"/>
                <w:szCs w:val="16"/>
                <w:lang w:eastAsia="en-AU"/>
              </w:rPr>
              <w:t>(IMPLIED CAPTURE RATE, %)</w:t>
            </w:r>
          </w:p>
        </w:tc>
      </w:tr>
      <w:tr w:rsidR="00A57A29" w:rsidRPr="00B72252" w14:paraId="059D3A5C" w14:textId="77777777" w:rsidTr="00B72252">
        <w:trPr>
          <w:trHeight w:val="578"/>
        </w:trPr>
        <w:tc>
          <w:tcPr>
            <w:tcW w:w="4846" w:type="dxa"/>
            <w:tcBorders>
              <w:bottom w:val="dotted" w:sz="4" w:space="0" w:color="auto"/>
            </w:tcBorders>
            <w:tcMar>
              <w:top w:w="0" w:type="dxa"/>
              <w:left w:w="108" w:type="dxa"/>
              <w:bottom w:w="0" w:type="dxa"/>
              <w:right w:w="108" w:type="dxa"/>
            </w:tcMar>
            <w:hideMark/>
          </w:tcPr>
          <w:p w14:paraId="697E55E5" w14:textId="77777777" w:rsidR="00A57A29" w:rsidRPr="00B72252" w:rsidRDefault="00A57A29" w:rsidP="00B72252">
            <w:pPr>
              <w:rPr>
                <w:rFonts w:cs="Arial"/>
                <w:sz w:val="16"/>
                <w:szCs w:val="16"/>
                <w:lang w:eastAsia="en-AU"/>
              </w:rPr>
            </w:pPr>
            <w:r w:rsidRPr="00B72252">
              <w:rPr>
                <w:rFonts w:cs="Arial"/>
                <w:sz w:val="16"/>
                <w:szCs w:val="16"/>
                <w:lang w:eastAsia="en-AU"/>
              </w:rPr>
              <w:t>No quantitative or qualitative limit or transitioned from Greenhouse Friendly</w:t>
            </w:r>
          </w:p>
        </w:tc>
        <w:tc>
          <w:tcPr>
            <w:tcW w:w="4778" w:type="dxa"/>
            <w:tcBorders>
              <w:bottom w:val="dotted" w:sz="4" w:space="0" w:color="auto"/>
            </w:tcBorders>
            <w:tcMar>
              <w:top w:w="0" w:type="dxa"/>
              <w:left w:w="108" w:type="dxa"/>
              <w:bottom w:w="0" w:type="dxa"/>
              <w:right w:w="108" w:type="dxa"/>
            </w:tcMar>
            <w:hideMark/>
          </w:tcPr>
          <w:p w14:paraId="2EB234B8" w14:textId="77777777" w:rsidR="00A57A29" w:rsidRPr="00B72252" w:rsidRDefault="00A57A29" w:rsidP="00B72252">
            <w:pPr>
              <w:rPr>
                <w:rFonts w:cs="Arial"/>
                <w:sz w:val="16"/>
                <w:szCs w:val="16"/>
                <w:lang w:eastAsia="en-AU"/>
              </w:rPr>
            </w:pPr>
            <w:r w:rsidRPr="00B72252">
              <w:rPr>
                <w:rFonts w:cs="Arial"/>
                <w:sz w:val="16"/>
                <w:szCs w:val="16"/>
                <w:lang w:eastAsia="en-AU"/>
              </w:rPr>
              <w:t>0</w:t>
            </w:r>
          </w:p>
        </w:tc>
      </w:tr>
      <w:tr w:rsidR="00A57A29" w:rsidRPr="00B72252" w14:paraId="36B02AAB" w14:textId="77777777" w:rsidTr="00B72252">
        <w:trPr>
          <w:trHeight w:val="565"/>
        </w:trPr>
        <w:tc>
          <w:tcPr>
            <w:tcW w:w="4846" w:type="dxa"/>
            <w:tcBorders>
              <w:top w:val="dotted" w:sz="4" w:space="0" w:color="auto"/>
              <w:bottom w:val="dotted" w:sz="4" w:space="0" w:color="auto"/>
            </w:tcBorders>
            <w:tcMar>
              <w:top w:w="0" w:type="dxa"/>
              <w:left w:w="108" w:type="dxa"/>
              <w:bottom w:w="0" w:type="dxa"/>
              <w:right w:w="108" w:type="dxa"/>
            </w:tcMar>
            <w:hideMark/>
          </w:tcPr>
          <w:p w14:paraId="7BD481C8" w14:textId="77777777" w:rsidR="00A57A29" w:rsidRPr="00B72252" w:rsidRDefault="00A57A29" w:rsidP="00B72252">
            <w:pPr>
              <w:rPr>
                <w:rFonts w:cs="Arial"/>
                <w:sz w:val="16"/>
                <w:szCs w:val="16"/>
                <w:lang w:eastAsia="en-AU"/>
              </w:rPr>
            </w:pPr>
            <w:r w:rsidRPr="00B72252">
              <w:rPr>
                <w:rFonts w:cs="Arial"/>
                <w:sz w:val="16"/>
                <w:szCs w:val="16"/>
                <w:lang w:eastAsia="en-AU"/>
              </w:rPr>
              <w:t xml:space="preserve">Transitioned from the NSW Greenhouse Gas Abatement Scheme </w:t>
            </w:r>
          </w:p>
        </w:tc>
        <w:tc>
          <w:tcPr>
            <w:tcW w:w="4778" w:type="dxa"/>
            <w:tcBorders>
              <w:top w:val="dotted" w:sz="4" w:space="0" w:color="auto"/>
              <w:bottom w:val="dotted" w:sz="4" w:space="0" w:color="auto"/>
            </w:tcBorders>
            <w:tcMar>
              <w:top w:w="0" w:type="dxa"/>
              <w:left w:w="108" w:type="dxa"/>
              <w:bottom w:w="0" w:type="dxa"/>
              <w:right w:w="108" w:type="dxa"/>
            </w:tcMar>
            <w:hideMark/>
          </w:tcPr>
          <w:p w14:paraId="2283D5DC" w14:textId="77777777" w:rsidR="00A57A29" w:rsidRPr="00B72252" w:rsidRDefault="00A57A29" w:rsidP="00B72252">
            <w:pPr>
              <w:rPr>
                <w:rFonts w:cs="Arial"/>
                <w:sz w:val="16"/>
                <w:szCs w:val="16"/>
                <w:lang w:eastAsia="en-AU"/>
              </w:rPr>
            </w:pPr>
            <w:r w:rsidRPr="00B72252">
              <w:rPr>
                <w:rFonts w:cs="Arial"/>
                <w:sz w:val="16"/>
                <w:szCs w:val="16"/>
                <w:lang w:eastAsia="en-AU"/>
              </w:rPr>
              <w:t>24</w:t>
            </w:r>
          </w:p>
        </w:tc>
      </w:tr>
      <w:tr w:rsidR="00A57A29" w:rsidRPr="00B72252" w14:paraId="25CDBB83" w14:textId="77777777" w:rsidTr="00B72252">
        <w:trPr>
          <w:trHeight w:val="565"/>
        </w:trPr>
        <w:tc>
          <w:tcPr>
            <w:tcW w:w="4846" w:type="dxa"/>
            <w:tcBorders>
              <w:top w:val="dotted" w:sz="4" w:space="0" w:color="auto"/>
              <w:bottom w:val="dotted" w:sz="4" w:space="0" w:color="auto"/>
            </w:tcBorders>
            <w:tcMar>
              <w:top w:w="0" w:type="dxa"/>
              <w:left w:w="108" w:type="dxa"/>
              <w:bottom w:w="0" w:type="dxa"/>
              <w:right w:w="108" w:type="dxa"/>
            </w:tcMar>
            <w:hideMark/>
          </w:tcPr>
          <w:p w14:paraId="1F61C27B" w14:textId="77777777" w:rsidR="00A57A29" w:rsidRPr="00B72252" w:rsidRDefault="00A57A29" w:rsidP="00B72252">
            <w:pPr>
              <w:rPr>
                <w:rFonts w:cs="Arial"/>
                <w:sz w:val="16"/>
                <w:szCs w:val="16"/>
                <w:lang w:eastAsia="en-AU"/>
              </w:rPr>
            </w:pPr>
            <w:r w:rsidRPr="00B72252">
              <w:rPr>
                <w:rFonts w:cs="Arial"/>
                <w:sz w:val="16"/>
                <w:szCs w:val="16"/>
                <w:lang w:eastAsia="en-AU"/>
              </w:rPr>
              <w:t>Quantitative or qualitative limits equivalent to less than 30 per cent capture</w:t>
            </w:r>
          </w:p>
        </w:tc>
        <w:tc>
          <w:tcPr>
            <w:tcW w:w="4778" w:type="dxa"/>
            <w:tcBorders>
              <w:top w:val="dotted" w:sz="4" w:space="0" w:color="auto"/>
              <w:bottom w:val="dotted" w:sz="4" w:space="0" w:color="auto"/>
            </w:tcBorders>
            <w:tcMar>
              <w:top w:w="0" w:type="dxa"/>
              <w:left w:w="108" w:type="dxa"/>
              <w:bottom w:w="0" w:type="dxa"/>
              <w:right w:w="108" w:type="dxa"/>
            </w:tcMar>
            <w:hideMark/>
          </w:tcPr>
          <w:p w14:paraId="046EB2CB" w14:textId="77777777" w:rsidR="00A57A29" w:rsidRPr="00B72252" w:rsidRDefault="00A57A29" w:rsidP="00B72252">
            <w:pPr>
              <w:rPr>
                <w:rFonts w:cs="Arial"/>
                <w:sz w:val="16"/>
                <w:szCs w:val="16"/>
                <w:lang w:eastAsia="en-AU"/>
              </w:rPr>
            </w:pPr>
            <w:r w:rsidRPr="00B72252">
              <w:rPr>
                <w:rFonts w:cs="Arial"/>
                <w:sz w:val="16"/>
                <w:szCs w:val="16"/>
                <w:lang w:eastAsia="en-AU"/>
              </w:rPr>
              <w:t>30 (National default baseline)</w:t>
            </w:r>
          </w:p>
        </w:tc>
      </w:tr>
      <w:tr w:rsidR="00A57A29" w:rsidRPr="00B72252" w14:paraId="02D45C9C" w14:textId="77777777" w:rsidTr="00B72252">
        <w:trPr>
          <w:trHeight w:val="807"/>
        </w:trPr>
        <w:tc>
          <w:tcPr>
            <w:tcW w:w="4846" w:type="dxa"/>
            <w:tcBorders>
              <w:top w:val="dotted" w:sz="4" w:space="0" w:color="auto"/>
            </w:tcBorders>
            <w:tcMar>
              <w:top w:w="0" w:type="dxa"/>
              <w:left w:w="108" w:type="dxa"/>
              <w:bottom w:w="0" w:type="dxa"/>
              <w:right w:w="108" w:type="dxa"/>
            </w:tcMar>
            <w:hideMark/>
          </w:tcPr>
          <w:p w14:paraId="609F590B" w14:textId="77777777" w:rsidR="00A57A29" w:rsidRPr="00B72252" w:rsidRDefault="00A57A29" w:rsidP="00B72252">
            <w:pPr>
              <w:rPr>
                <w:rFonts w:cs="Arial"/>
                <w:sz w:val="16"/>
                <w:szCs w:val="16"/>
                <w:lang w:eastAsia="en-AU"/>
              </w:rPr>
            </w:pPr>
            <w:r w:rsidRPr="00B72252">
              <w:rPr>
                <w:rFonts w:cs="Arial"/>
                <w:sz w:val="16"/>
                <w:szCs w:val="16"/>
                <w:lang w:eastAsia="en-AU"/>
              </w:rPr>
              <w:t>Quantitative or qualitative limits equivalent to more than 30 per cent capture</w:t>
            </w:r>
          </w:p>
        </w:tc>
        <w:tc>
          <w:tcPr>
            <w:tcW w:w="4778" w:type="dxa"/>
            <w:tcBorders>
              <w:top w:val="dotted" w:sz="4" w:space="0" w:color="auto"/>
            </w:tcBorders>
            <w:tcMar>
              <w:top w:w="0" w:type="dxa"/>
              <w:left w:w="108" w:type="dxa"/>
              <w:bottom w:w="0" w:type="dxa"/>
              <w:right w:w="108" w:type="dxa"/>
            </w:tcMar>
            <w:hideMark/>
          </w:tcPr>
          <w:p w14:paraId="5C27EDA3" w14:textId="2CB6CC36" w:rsidR="00A57A29" w:rsidRPr="00B72252" w:rsidRDefault="00A57A29" w:rsidP="00B72252">
            <w:pPr>
              <w:rPr>
                <w:rFonts w:cs="Arial"/>
                <w:sz w:val="16"/>
                <w:szCs w:val="16"/>
                <w:lang w:eastAsia="en-AU"/>
              </w:rPr>
            </w:pPr>
            <w:r w:rsidRPr="00B72252">
              <w:rPr>
                <w:rFonts w:cs="Arial"/>
                <w:sz w:val="16"/>
                <w:szCs w:val="16"/>
                <w:lang w:eastAsia="en-AU"/>
              </w:rPr>
              <w:t xml:space="preserve">Project specific </w:t>
            </w:r>
            <w:r w:rsidR="00FB1C0A">
              <w:rPr>
                <w:rFonts w:cs="Arial"/>
                <w:sz w:val="16"/>
                <w:szCs w:val="16"/>
                <w:lang w:eastAsia="en-AU"/>
              </w:rPr>
              <w:t>baseline</w:t>
            </w:r>
          </w:p>
        </w:tc>
      </w:tr>
    </w:tbl>
    <w:p w14:paraId="27F190B5" w14:textId="7228EFEA" w:rsidR="00A57A29" w:rsidRDefault="00A57A29" w:rsidP="00B72252">
      <w:pPr>
        <w:pStyle w:val="Footnote"/>
        <w:spacing w:after="0"/>
      </w:pPr>
      <w:r w:rsidRPr="00B72252">
        <w:rPr>
          <w:b/>
        </w:rPr>
        <w:t>Note</w:t>
      </w:r>
      <w:r w:rsidRPr="00B72252">
        <w:t xml:space="preserve">: The crediting period for all </w:t>
      </w:r>
      <w:r w:rsidR="004C3EFC" w:rsidRPr="00B72252">
        <w:t xml:space="preserve">landfill waste </w:t>
      </w:r>
      <w:r w:rsidRPr="00B72252">
        <w:t>projects</w:t>
      </w:r>
      <w:r w:rsidRPr="00F56FD2">
        <w:t xml:space="preserve"> that started under the ERF or transitioned into the ERF is seven years.</w:t>
      </w:r>
    </w:p>
    <w:p w14:paraId="005F0F46" w14:textId="40BFFB0C" w:rsidR="00347A3B" w:rsidRPr="00F56FD2" w:rsidRDefault="00347A3B" w:rsidP="00347A3B">
      <w:pPr>
        <w:pStyle w:val="Footnote"/>
        <w:rPr>
          <w:rFonts w:eastAsiaTheme="minorHAnsi" w:cs="Arial"/>
        </w:rPr>
      </w:pPr>
      <w:r w:rsidRPr="00347A3B">
        <w:rPr>
          <w:rFonts w:eastAsiaTheme="minorHAnsi" w:cs="Arial"/>
          <w:b/>
        </w:rPr>
        <w:t>Source</w:t>
      </w:r>
      <w:r>
        <w:rPr>
          <w:rFonts w:eastAsiaTheme="minorHAnsi" w:cs="Arial"/>
        </w:rPr>
        <w:t>: DoIICCSRTE 2013</w:t>
      </w:r>
      <w:r w:rsidR="000E6CCB">
        <w:rPr>
          <w:rFonts w:eastAsiaTheme="minorHAnsi" w:cs="Arial"/>
        </w:rPr>
        <w:t>.</w:t>
      </w:r>
    </w:p>
    <w:p w14:paraId="0009884D" w14:textId="48632799" w:rsidR="007E0199" w:rsidRDefault="009400CF" w:rsidP="008D1F43">
      <w:r w:rsidRPr="0038754B">
        <w:t xml:space="preserve">There are </w:t>
      </w:r>
      <w:r w:rsidR="00BA20B6" w:rsidRPr="0038754B">
        <w:t>36</w:t>
      </w:r>
      <w:r w:rsidRPr="0038754B">
        <w:t xml:space="preserve"> transitioning projects in the ERF with a 24 per cent baseline and </w:t>
      </w:r>
      <w:r w:rsidR="0006626D">
        <w:t>9</w:t>
      </w:r>
      <w:r w:rsidR="0006626D" w:rsidRPr="0038754B">
        <w:t xml:space="preserve"> </w:t>
      </w:r>
      <w:r w:rsidR="00BA20B6" w:rsidRPr="0038754B">
        <w:t>transitioning</w:t>
      </w:r>
      <w:r w:rsidRPr="0038754B">
        <w:t xml:space="preserve"> projects with a zero baseline (</w:t>
      </w:r>
      <w:r w:rsidRPr="00E55312">
        <w:rPr>
          <w:rStyle w:val="In-textChar"/>
        </w:rPr>
        <w:t>CER</w:t>
      </w:r>
      <w:r w:rsidR="00444E1F" w:rsidRPr="00E55312">
        <w:rPr>
          <w:rStyle w:val="In-textChar"/>
        </w:rPr>
        <w:t xml:space="preserve"> 2017f</w:t>
      </w:r>
      <w:r w:rsidR="00E1223A">
        <w:rPr>
          <w:rStyle w:val="In-textChar"/>
        </w:rPr>
        <w:t>, pers comm</w:t>
      </w:r>
      <w:r w:rsidRPr="0038754B">
        <w:t xml:space="preserve">). Some of these projects were established in the late 1990s </w:t>
      </w:r>
      <w:r w:rsidR="005A7522">
        <w:t>(</w:t>
      </w:r>
      <w:r w:rsidR="005A7522" w:rsidRPr="00E55312">
        <w:rPr>
          <w:rStyle w:val="In-textChar"/>
        </w:rPr>
        <w:t>ABCSE</w:t>
      </w:r>
      <w:r w:rsidR="006E69E1" w:rsidRPr="00E55312">
        <w:rPr>
          <w:rStyle w:val="In-textChar"/>
        </w:rPr>
        <w:t xml:space="preserve"> </w:t>
      </w:r>
      <w:r w:rsidR="00957CA2">
        <w:rPr>
          <w:rStyle w:val="In-textChar"/>
        </w:rPr>
        <w:t>&amp;</w:t>
      </w:r>
      <w:r w:rsidR="006E69E1" w:rsidRPr="00E55312">
        <w:rPr>
          <w:rStyle w:val="In-textChar"/>
        </w:rPr>
        <w:t xml:space="preserve"> CEC</w:t>
      </w:r>
      <w:r w:rsidR="005A7522" w:rsidRPr="00E55312">
        <w:rPr>
          <w:rStyle w:val="In-textChar"/>
        </w:rPr>
        <w:t xml:space="preserve"> 2005</w:t>
      </w:r>
      <w:r w:rsidR="005A7522">
        <w:t xml:space="preserve">) </w:t>
      </w:r>
      <w:r w:rsidRPr="0038754B">
        <w:t>and a number are in Victoria, as the NSW scheme accredited projects outside that state</w:t>
      </w:r>
      <w:r w:rsidR="005A7522">
        <w:t xml:space="preserve"> (</w:t>
      </w:r>
      <w:r w:rsidR="005A7522" w:rsidRPr="00E55312">
        <w:rPr>
          <w:rStyle w:val="In-textChar"/>
        </w:rPr>
        <w:t xml:space="preserve">CER </w:t>
      </w:r>
      <w:r w:rsidR="006F5C09" w:rsidRPr="00E55312">
        <w:rPr>
          <w:rStyle w:val="In-textChar"/>
        </w:rPr>
        <w:t>2017</w:t>
      </w:r>
      <w:r w:rsidR="0094547E">
        <w:rPr>
          <w:rStyle w:val="In-textChar"/>
        </w:rPr>
        <w:t>n</w:t>
      </w:r>
      <w:r w:rsidR="00D57C55">
        <w:rPr>
          <w:rStyle w:val="In-textChar"/>
        </w:rPr>
        <w:t>;</w:t>
      </w:r>
      <w:r w:rsidR="00D57C55" w:rsidRPr="00E55312">
        <w:rPr>
          <w:rStyle w:val="In-textChar"/>
        </w:rPr>
        <w:t xml:space="preserve"> </w:t>
      </w:r>
      <w:r w:rsidR="005A7522" w:rsidRPr="00E55312">
        <w:rPr>
          <w:rStyle w:val="In-textChar"/>
        </w:rPr>
        <w:t>GGAS n.d.)</w:t>
      </w:r>
      <w:r w:rsidRPr="00E55312">
        <w:rPr>
          <w:rStyle w:val="In-textChar"/>
        </w:rPr>
        <w:t>.</w:t>
      </w:r>
      <w:r w:rsidRPr="0038754B">
        <w:t xml:space="preserve"> </w:t>
      </w:r>
      <w:r w:rsidR="00A0098B" w:rsidRPr="0038754B">
        <w:t>These baselines still apply to projects generating ACCUs for the ERF.</w:t>
      </w:r>
      <w:r w:rsidRPr="0038754B">
        <w:t xml:space="preserve"> In Victoria however </w:t>
      </w:r>
      <w:r w:rsidR="00BA20B6" w:rsidRPr="0038754B">
        <w:t>a</w:t>
      </w:r>
      <w:r w:rsidRPr="0038754B">
        <w:t xml:space="preserve"> high emitting landfill </w:t>
      </w:r>
      <w:r w:rsidR="00BA20B6" w:rsidRPr="0038754B">
        <w:t xml:space="preserve">could be </w:t>
      </w:r>
      <w:r w:rsidRPr="0038754B">
        <w:t xml:space="preserve">required to flare </w:t>
      </w:r>
      <w:r w:rsidR="00E813AD" w:rsidRPr="0038754B">
        <w:t xml:space="preserve">72 per cent </w:t>
      </w:r>
      <w:r w:rsidRPr="0038754B">
        <w:t xml:space="preserve">per cent of </w:t>
      </w:r>
      <w:r w:rsidR="00A0098B" w:rsidRPr="0038754B">
        <w:t xml:space="preserve">emissions, which means that their ERF </w:t>
      </w:r>
      <w:r w:rsidRPr="0038754B">
        <w:t>regulatory baseline is too generous (in the order of 4</w:t>
      </w:r>
      <w:r w:rsidR="00307294" w:rsidRPr="0038754B">
        <w:t>8</w:t>
      </w:r>
      <w:r w:rsidRPr="0038754B">
        <w:t xml:space="preserve"> percentage points) (</w:t>
      </w:r>
      <w:r w:rsidR="00CD542A">
        <w:fldChar w:fldCharType="begin"/>
      </w:r>
      <w:r w:rsidR="00CD542A">
        <w:instrText xml:space="preserve"> REF _Ref500315970 \h </w:instrText>
      </w:r>
      <w:r w:rsidR="00CD542A">
        <w:fldChar w:fldCharType="separate"/>
      </w:r>
      <w:r w:rsidR="00FA2002">
        <w:t xml:space="preserve">Figure </w:t>
      </w:r>
      <w:r w:rsidR="00FA2002">
        <w:rPr>
          <w:noProof/>
        </w:rPr>
        <w:t>5</w:t>
      </w:r>
      <w:r w:rsidR="00CD542A">
        <w:fldChar w:fldCharType="end"/>
      </w:r>
      <w:r w:rsidRPr="0038754B">
        <w:t>).</w:t>
      </w:r>
    </w:p>
    <w:p w14:paraId="1262BB09" w14:textId="77777777" w:rsidR="007E0199" w:rsidRDefault="007E0199">
      <w:pPr>
        <w:spacing w:after="0" w:line="240" w:lineRule="auto"/>
      </w:pPr>
      <w:r>
        <w:br w:type="page"/>
      </w:r>
    </w:p>
    <w:p w14:paraId="7B763AFE" w14:textId="08BE94E5" w:rsidR="009400CF" w:rsidRPr="0038754B" w:rsidRDefault="009400CF" w:rsidP="008D1F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F7B7F" w:rsidRPr="0038754B" w14:paraId="38333B05" w14:textId="77777777" w:rsidTr="00E55312">
        <w:trPr>
          <w:cnfStyle w:val="100000000000" w:firstRow="1" w:lastRow="0" w:firstColumn="0" w:lastColumn="0" w:oddVBand="0" w:evenVBand="0" w:oddHBand="0" w:evenHBand="0" w:firstRowFirstColumn="0" w:firstRowLastColumn="0" w:lastRowFirstColumn="0" w:lastRowLastColumn="0"/>
        </w:trPr>
        <w:tc>
          <w:tcPr>
            <w:tcW w:w="9212" w:type="dxa"/>
          </w:tcPr>
          <w:p w14:paraId="17068DAE" w14:textId="1EF30515" w:rsidR="00CD542A" w:rsidRDefault="00CD542A" w:rsidP="00CD542A">
            <w:pPr>
              <w:pStyle w:val="CCAFigure"/>
            </w:pPr>
            <w:bookmarkStart w:id="579" w:name="_Ref500315970"/>
            <w:bookmarkStart w:id="580" w:name="_Toc500490919"/>
            <w:bookmarkStart w:id="581" w:name="_Toc500513614"/>
            <w:bookmarkStart w:id="582" w:name="_Toc500516173"/>
            <w:r>
              <w:t xml:space="preserve">Figure </w:t>
            </w:r>
            <w:r w:rsidR="00FA2002">
              <w:fldChar w:fldCharType="begin"/>
            </w:r>
            <w:r w:rsidR="00FA2002">
              <w:instrText xml:space="preserve"> SEQ Figure \* ARABIC </w:instrText>
            </w:r>
            <w:r w:rsidR="00FA2002">
              <w:fldChar w:fldCharType="separate"/>
            </w:r>
            <w:r w:rsidR="00FA2002">
              <w:rPr>
                <w:noProof/>
              </w:rPr>
              <w:t>5</w:t>
            </w:r>
            <w:r w:rsidR="00FA2002">
              <w:rPr>
                <w:noProof/>
              </w:rPr>
              <w:fldChar w:fldCharType="end"/>
            </w:r>
            <w:bookmarkEnd w:id="579"/>
            <w:r w:rsidR="000775DD">
              <w:t>:</w:t>
            </w:r>
            <w:r>
              <w:t xml:space="preserve"> </w:t>
            </w:r>
            <w:r w:rsidRPr="00FB52F1">
              <w:t xml:space="preserve">Difference between the method baseline for projects transitioning from GGAS and state requirements to capture emissions: </w:t>
            </w:r>
            <w:r w:rsidR="006F1B4C">
              <w:t>e</w:t>
            </w:r>
            <w:r w:rsidR="006F1B4C" w:rsidRPr="00FB52F1">
              <w:t xml:space="preserve">xample </w:t>
            </w:r>
            <w:r w:rsidRPr="00FB52F1">
              <w:t>of a high emitting landfill in Victoria</w:t>
            </w:r>
            <w:bookmarkEnd w:id="580"/>
            <w:bookmarkEnd w:id="581"/>
            <w:bookmarkEnd w:id="582"/>
          </w:p>
          <w:p w14:paraId="4A0EE34F" w14:textId="141E449A" w:rsidR="00AF7B7F" w:rsidRPr="0002132E" w:rsidRDefault="00AF7B7F" w:rsidP="008D1F43">
            <w:r w:rsidRPr="0002132E">
              <w:rPr>
                <w:noProof/>
                <w:lang w:eastAsia="en-AU"/>
              </w:rPr>
              <w:drawing>
                <wp:inline distT="0" distB="0" distL="0" distR="0" wp14:anchorId="683A854F" wp14:editId="587DEFB7">
                  <wp:extent cx="5849620" cy="3819525"/>
                  <wp:effectExtent l="0" t="0" r="0" b="9525"/>
                  <wp:docPr id="5" name="Picture 5" descr="Figure 5 is a bar chart that compares the difference between the method baseline for projects transitioning from GGAS and state requirements to capture emissions. It provides an example of a high emitting landfill in Victoria. The default baseline for projects transitioning from GGAS is 24 per cent. The approximate required methane capture rate based on a high emitting landfill in Victoria is 72 per cent. In this example, the difference between the baseline and state requirements is 48 percentage points." title="Figure 5: Difference between the method baseline for projects transitioning from GGAS and state requirements to capture emissions: Example of a high emitting landfill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mbustion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9620" cy="3819525"/>
                          </a:xfrm>
                          <a:prstGeom prst="rect">
                            <a:avLst/>
                          </a:prstGeom>
                        </pic:spPr>
                      </pic:pic>
                    </a:graphicData>
                  </a:graphic>
                </wp:inline>
              </w:drawing>
            </w:r>
          </w:p>
        </w:tc>
      </w:tr>
    </w:tbl>
    <w:p w14:paraId="1D56032D" w14:textId="78D3F5EE" w:rsidR="00CA17B1" w:rsidRDefault="00CA17B1" w:rsidP="00CA17B1">
      <w:pPr>
        <w:pStyle w:val="Footnote"/>
      </w:pPr>
      <w:r w:rsidRPr="00CA17B1">
        <w:rPr>
          <w:b/>
        </w:rPr>
        <w:t>Source</w:t>
      </w:r>
      <w:r>
        <w:t>: C</w:t>
      </w:r>
      <w:r w:rsidR="003D6D22">
        <w:t xml:space="preserve">limate </w:t>
      </w:r>
      <w:r>
        <w:t>C</w:t>
      </w:r>
      <w:r w:rsidR="003D6D22">
        <w:t xml:space="preserve">hange </w:t>
      </w:r>
      <w:r>
        <w:t>A</w:t>
      </w:r>
      <w:r w:rsidR="003D6D22">
        <w:t>uthority</w:t>
      </w:r>
      <w:r>
        <w:t xml:space="preserve"> 2016</w:t>
      </w:r>
      <w:r w:rsidR="003D6D22">
        <w:t>.</w:t>
      </w:r>
    </w:p>
    <w:p w14:paraId="05AC240E" w14:textId="77777777" w:rsidR="00AF1D70" w:rsidRPr="0038754B" w:rsidRDefault="00AF1D70" w:rsidP="00AF1D70">
      <w:r w:rsidRPr="0038754B">
        <w:t>The Authority considers that the ERAC should look closely at regulatory baselines as part of its current review of the landfill gas methods</w:t>
      </w:r>
      <w:r>
        <w:t xml:space="preserve"> to check that they reflect recent regulatory developments in the sector</w:t>
      </w:r>
      <w:r w:rsidRPr="0038754B">
        <w:t>.</w:t>
      </w:r>
    </w:p>
    <w:p w14:paraId="25A51A71" w14:textId="6A9B4BAC" w:rsidR="00637EB3" w:rsidRDefault="00637EB3" w:rsidP="00637EB3">
      <w:r w:rsidRPr="0038754B">
        <w:t xml:space="preserve">The ERAC is currently reviewing the landfill waste methods to determine whether projects under those methods should receive an extension to their crediting periods. These projects were given a ‘re-set’ seven year crediting period when the CFI was amended to become the ERF. If the ERAC agrees to an extension, some projects will continue to receive ACCUs after more than </w:t>
      </w:r>
      <w:r w:rsidR="00B72252">
        <w:t>15</w:t>
      </w:r>
      <w:r w:rsidR="00B72252" w:rsidRPr="0038754B">
        <w:t xml:space="preserve"> </w:t>
      </w:r>
      <w:r w:rsidRPr="0038754B">
        <w:t>years of getting offsets credits under various schemes</w:t>
      </w:r>
      <w:r>
        <w:t>.</w:t>
      </w:r>
    </w:p>
    <w:p w14:paraId="4AA77954" w14:textId="62B2F80C" w:rsidR="008D1F43" w:rsidRPr="0038754B" w:rsidRDefault="008D1F43" w:rsidP="008D1F43">
      <w:r w:rsidRPr="0038754B">
        <w:t>The Authority notes that the concept of additionality is time dependent because practices and technologies change and improve over time. The ERAC’s</w:t>
      </w:r>
      <w:r w:rsidRPr="0038754B" w:rsidDel="00B72252">
        <w:t xml:space="preserve"> </w:t>
      </w:r>
      <w:r w:rsidR="00B72252" w:rsidRPr="0038754B">
        <w:t>review</w:t>
      </w:r>
      <w:r w:rsidR="00B72252">
        <w:t xml:space="preserve"> of</w:t>
      </w:r>
      <w:r w:rsidR="00B72252" w:rsidRPr="0038754B">
        <w:t xml:space="preserve"> </w:t>
      </w:r>
      <w:r w:rsidRPr="0038754B">
        <w:t>methods provides an important opportunity for each method’s additionality requirements to be rigorously tested to see if they are still current in light of technological change, uptake of new practices and regulatory requirements in a sector or industry.</w:t>
      </w:r>
    </w:p>
    <w:p w14:paraId="15E66176" w14:textId="77777777" w:rsidR="008D1F43" w:rsidRPr="0038754B" w:rsidRDefault="008D1F43" w:rsidP="008D1F43">
      <w:r w:rsidRPr="0038754B">
        <w:t xml:space="preserve">The Authority is of the view that extending crediting periods beyond those originally set for a given method could carry significant risks for additionality (particularly where methods and projects are transitioning from other schemes), and encourages the ERAC to examine the additionality of these methods and projects closely when conducting its reviews. </w:t>
      </w:r>
    </w:p>
    <w:p w14:paraId="28A2C6C3" w14:textId="1049F54B" w:rsidR="00637EB3" w:rsidRPr="0038754B" w:rsidRDefault="00637EB3" w:rsidP="008D1F43">
      <w:r w:rsidRPr="0038754B">
        <w:t xml:space="preserve">In line with its recommendation in its </w:t>
      </w:r>
      <w:r w:rsidRPr="00807F2C">
        <w:rPr>
          <w:i/>
        </w:rPr>
        <w:t>2016 Special Review</w:t>
      </w:r>
      <w:r w:rsidRPr="0038754B">
        <w:t>, the Authority remains of the view that the best approach to reducing emissions from landfills would be for the Council of Australian Governments to agree to nationally harmonised regulation.</w:t>
      </w:r>
      <w:r w:rsidRPr="0002132E">
        <w:t xml:space="preserve"> </w:t>
      </w:r>
    </w:p>
    <w:tbl>
      <w:tblPr>
        <w:tblStyle w:val="TableGrid"/>
        <w:tblW w:w="0" w:type="auto"/>
        <w:shd w:val="clear" w:color="auto" w:fill="E6ECF2"/>
        <w:tblLook w:val="04A0" w:firstRow="1" w:lastRow="0" w:firstColumn="1" w:lastColumn="0" w:noHBand="0" w:noVBand="1"/>
      </w:tblPr>
      <w:tblGrid>
        <w:gridCol w:w="9202"/>
      </w:tblGrid>
      <w:tr w:rsidR="00A83D4F" w:rsidRPr="0038754B" w14:paraId="655D03D5" w14:textId="77777777" w:rsidTr="00933C21">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4235AC75" w14:textId="64D7C9C3" w:rsidR="00A83D4F" w:rsidRPr="0038754B" w:rsidRDefault="00A83D4F" w:rsidP="00933C21">
            <w:pPr>
              <w:rPr>
                <w:b/>
                <w:color w:val="159DCE"/>
                <w:sz w:val="18"/>
                <w:szCs w:val="18"/>
              </w:rPr>
            </w:pPr>
            <w:r w:rsidRPr="0038754B">
              <w:rPr>
                <w:b/>
                <w:color w:val="159DCE"/>
                <w:sz w:val="18"/>
                <w:szCs w:val="18"/>
              </w:rPr>
              <w:t>RECOMMENDATION</w:t>
            </w:r>
          </w:p>
          <w:p w14:paraId="2025CE03" w14:textId="37ECD323" w:rsidR="00A83D4F" w:rsidRPr="00E55312" w:rsidRDefault="00A83D4F" w:rsidP="00947CE4">
            <w:pPr>
              <w:spacing w:after="140" w:line="320" w:lineRule="exact"/>
              <w:ind w:left="851" w:hanging="851"/>
              <w:rPr>
                <w:sz w:val="18"/>
                <w:szCs w:val="18"/>
                <w:lang w:val="en-US"/>
              </w:rPr>
            </w:pPr>
            <w:bookmarkStart w:id="583" w:name="_Ref497827610"/>
            <w:bookmarkStart w:id="584" w:name="Recommendation5"/>
            <w:bookmarkStart w:id="585" w:name="_Toc497827432"/>
            <w:bookmarkStart w:id="586" w:name="_Toc497834068"/>
            <w:bookmarkStart w:id="587" w:name="_Toc498534517"/>
            <w:bookmarkStart w:id="588" w:name="_Toc498614712"/>
            <w:bookmarkStart w:id="589" w:name="_Toc498691467"/>
            <w:bookmarkStart w:id="590" w:name="_Toc499051666"/>
            <w:bookmarkStart w:id="591" w:name="_Toc499202051"/>
            <w:bookmarkStart w:id="592" w:name="_Toc499892335"/>
            <w:bookmarkStart w:id="593" w:name="_Toc499898695"/>
            <w:bookmarkStart w:id="594" w:name="_Toc499899335"/>
            <w:r w:rsidRPr="0038754B">
              <w:rPr>
                <w:rFonts w:cs="Arial"/>
                <w:sz w:val="18"/>
              </w:rPr>
              <w:t xml:space="preserve">R. </w:t>
            </w:r>
            <w:r w:rsidRPr="0038754B">
              <w:rPr>
                <w:rFonts w:cs="Arial"/>
                <w:sz w:val="18"/>
              </w:rPr>
              <w:fldChar w:fldCharType="begin"/>
            </w:r>
            <w:r w:rsidRPr="0038754B">
              <w:rPr>
                <w:rFonts w:cs="Arial"/>
                <w:sz w:val="18"/>
              </w:rPr>
              <w:instrText xml:space="preserve"> SEQ R. \* ARABIC </w:instrText>
            </w:r>
            <w:r w:rsidRPr="0038754B">
              <w:rPr>
                <w:rFonts w:cs="Arial"/>
                <w:sz w:val="18"/>
              </w:rPr>
              <w:fldChar w:fldCharType="separate"/>
            </w:r>
            <w:r w:rsidR="00FA2002">
              <w:rPr>
                <w:rFonts w:cs="Arial"/>
                <w:noProof/>
                <w:sz w:val="18"/>
              </w:rPr>
              <w:t>5</w:t>
            </w:r>
            <w:r w:rsidRPr="0038754B">
              <w:rPr>
                <w:rFonts w:cs="Arial"/>
                <w:sz w:val="18"/>
              </w:rPr>
              <w:fldChar w:fldCharType="end"/>
            </w:r>
            <w:bookmarkEnd w:id="583"/>
            <w:r w:rsidRPr="0002132E">
              <w:rPr>
                <w:rFonts w:cs="Arial"/>
                <w:sz w:val="18"/>
              </w:rPr>
              <w:t xml:space="preserve">. </w:t>
            </w:r>
            <w:bookmarkEnd w:id="584"/>
            <w:r w:rsidRPr="0038754B">
              <w:rPr>
                <w:rFonts w:cs="Arial"/>
                <w:sz w:val="18"/>
              </w:rPr>
              <w:tab/>
            </w:r>
            <w:bookmarkStart w:id="595" w:name="_Ref500236695"/>
            <w:r w:rsidR="00C505C9" w:rsidRPr="0038754B">
              <w:rPr>
                <w:sz w:val="18"/>
                <w:szCs w:val="18"/>
                <w:lang w:val="en-US"/>
              </w:rPr>
              <w:t>As part of its method reviews, the E</w:t>
            </w:r>
            <w:r w:rsidR="00402F51">
              <w:rPr>
                <w:sz w:val="18"/>
                <w:szCs w:val="18"/>
                <w:lang w:val="en-US"/>
              </w:rPr>
              <w:t xml:space="preserve">missions </w:t>
            </w:r>
            <w:r w:rsidR="00C505C9" w:rsidRPr="0038754B">
              <w:rPr>
                <w:sz w:val="18"/>
                <w:szCs w:val="18"/>
                <w:lang w:val="en-US"/>
              </w:rPr>
              <w:t>R</w:t>
            </w:r>
            <w:r w:rsidR="00402F51">
              <w:rPr>
                <w:sz w:val="18"/>
                <w:szCs w:val="18"/>
                <w:lang w:val="en-US"/>
              </w:rPr>
              <w:t xml:space="preserve">eduction </w:t>
            </w:r>
            <w:r w:rsidR="00C505C9" w:rsidRPr="0038754B">
              <w:rPr>
                <w:sz w:val="18"/>
                <w:szCs w:val="18"/>
                <w:lang w:val="en-US"/>
              </w:rPr>
              <w:t>A</w:t>
            </w:r>
            <w:r w:rsidR="00402F51">
              <w:rPr>
                <w:sz w:val="18"/>
                <w:szCs w:val="18"/>
                <w:lang w:val="en-US"/>
              </w:rPr>
              <w:t xml:space="preserve">ssurance </w:t>
            </w:r>
            <w:r w:rsidR="00C505C9" w:rsidRPr="0038754B">
              <w:rPr>
                <w:sz w:val="18"/>
                <w:szCs w:val="18"/>
                <w:lang w:val="en-US"/>
              </w:rPr>
              <w:t>C</w:t>
            </w:r>
            <w:r w:rsidR="00402F51">
              <w:rPr>
                <w:sz w:val="18"/>
                <w:szCs w:val="18"/>
                <w:lang w:val="en-US"/>
              </w:rPr>
              <w:t>ommittee</w:t>
            </w:r>
            <w:r w:rsidR="00C505C9" w:rsidRPr="0038754B">
              <w:rPr>
                <w:sz w:val="18"/>
                <w:szCs w:val="18"/>
                <w:lang w:val="en-US"/>
              </w:rPr>
              <w:t xml:space="preserve"> examine: i.) the measured soil method to assess its effectiveness in distinguishing between natural variability (rainfall) and management actions in crediting abatement from soil carbon ii.) </w:t>
            </w:r>
            <w:r w:rsidR="00F374F9">
              <w:rPr>
                <w:sz w:val="18"/>
                <w:szCs w:val="18"/>
                <w:lang w:val="en-US"/>
              </w:rPr>
              <w:t>estimation and project requirements</w:t>
            </w:r>
            <w:r w:rsidR="00464CF7">
              <w:rPr>
                <w:sz w:val="18"/>
                <w:szCs w:val="18"/>
                <w:lang w:val="en-US"/>
              </w:rPr>
              <w:t xml:space="preserve"> for </w:t>
            </w:r>
            <w:r w:rsidR="00947CE4">
              <w:rPr>
                <w:sz w:val="18"/>
                <w:szCs w:val="18"/>
                <w:lang w:val="en-US"/>
              </w:rPr>
              <w:t xml:space="preserve">the </w:t>
            </w:r>
            <w:r w:rsidR="00464CF7">
              <w:rPr>
                <w:sz w:val="18"/>
                <w:szCs w:val="18"/>
                <w:lang w:val="en-US"/>
              </w:rPr>
              <w:t>human</w:t>
            </w:r>
            <w:r w:rsidR="00722380">
              <w:rPr>
                <w:sz w:val="18"/>
                <w:szCs w:val="18"/>
                <w:lang w:val="en-US"/>
              </w:rPr>
              <w:t>-</w:t>
            </w:r>
            <w:r w:rsidR="00464CF7">
              <w:rPr>
                <w:sz w:val="18"/>
                <w:szCs w:val="18"/>
                <w:lang w:val="en-US"/>
              </w:rPr>
              <w:t xml:space="preserve">induced regeneration </w:t>
            </w:r>
            <w:r w:rsidR="00F374F9">
              <w:rPr>
                <w:sz w:val="18"/>
                <w:szCs w:val="18"/>
                <w:lang w:val="en-US"/>
              </w:rPr>
              <w:t>method iii</w:t>
            </w:r>
            <w:r w:rsidR="00A95AE3">
              <w:rPr>
                <w:sz w:val="18"/>
                <w:szCs w:val="18"/>
                <w:lang w:val="en-US"/>
              </w:rPr>
              <w:t>.</w:t>
            </w:r>
            <w:r w:rsidR="00F374F9">
              <w:rPr>
                <w:sz w:val="18"/>
                <w:szCs w:val="18"/>
                <w:lang w:val="en-US"/>
              </w:rPr>
              <w:t xml:space="preserve">) </w:t>
            </w:r>
            <w:r w:rsidR="00C505C9" w:rsidRPr="0038754B">
              <w:rPr>
                <w:sz w:val="18"/>
                <w:szCs w:val="18"/>
                <w:lang w:val="en-US"/>
              </w:rPr>
              <w:t>the native forest managed regrowth method to assess the additionality of project activities and baselines</w:t>
            </w:r>
            <w:r w:rsidR="0040084F">
              <w:rPr>
                <w:sz w:val="18"/>
                <w:szCs w:val="18"/>
                <w:lang w:val="en-US"/>
              </w:rPr>
              <w:t xml:space="preserve"> </w:t>
            </w:r>
            <w:r w:rsidR="00C505C9" w:rsidRPr="0038754B">
              <w:rPr>
                <w:sz w:val="18"/>
                <w:szCs w:val="18"/>
                <w:lang w:val="en-US"/>
              </w:rPr>
              <w:t>i</w:t>
            </w:r>
            <w:r w:rsidR="00F374F9">
              <w:rPr>
                <w:sz w:val="18"/>
                <w:szCs w:val="18"/>
                <w:lang w:val="en-US"/>
              </w:rPr>
              <w:t>v</w:t>
            </w:r>
            <w:r w:rsidR="00C505C9" w:rsidRPr="0038754B">
              <w:rPr>
                <w:sz w:val="18"/>
                <w:szCs w:val="18"/>
                <w:lang w:val="en-US"/>
              </w:rPr>
              <w:t>.) regulatory additionality baseline</w:t>
            </w:r>
            <w:r w:rsidR="00FB4457" w:rsidRPr="0038754B">
              <w:rPr>
                <w:sz w:val="18"/>
                <w:szCs w:val="18"/>
                <w:lang w:val="en-US"/>
              </w:rPr>
              <w:t>s</w:t>
            </w:r>
            <w:r w:rsidR="00C505C9" w:rsidRPr="0038754B">
              <w:rPr>
                <w:sz w:val="18"/>
                <w:szCs w:val="18"/>
                <w:lang w:val="en-US"/>
              </w:rPr>
              <w:t xml:space="preserve"> for the landfill gas method and v.) the additionality requirements for each method to see if they are still current given changes in technologies, practices and regulation for relevant activities and sectors when considering whether the method’s crediting periods should be extended.</w:t>
            </w:r>
            <w:bookmarkEnd w:id="585"/>
            <w:bookmarkEnd w:id="586"/>
            <w:bookmarkEnd w:id="587"/>
            <w:bookmarkEnd w:id="588"/>
            <w:bookmarkEnd w:id="589"/>
            <w:bookmarkEnd w:id="590"/>
            <w:bookmarkEnd w:id="591"/>
            <w:bookmarkEnd w:id="592"/>
            <w:bookmarkEnd w:id="593"/>
            <w:bookmarkEnd w:id="594"/>
            <w:bookmarkEnd w:id="595"/>
          </w:p>
        </w:tc>
      </w:tr>
    </w:tbl>
    <w:p w14:paraId="13680F1E" w14:textId="77777777" w:rsidR="007E0199" w:rsidRDefault="007E0199" w:rsidP="00BF0516">
      <w:bookmarkStart w:id="596" w:name="_Toc494905122"/>
      <w:bookmarkStart w:id="597" w:name="_Toc497819472"/>
      <w:bookmarkStart w:id="598" w:name="_Toc498691539"/>
      <w:bookmarkStart w:id="599" w:name="_Toc499043720"/>
      <w:bookmarkStart w:id="600" w:name="_Toc499051745"/>
      <w:bookmarkStart w:id="601" w:name="_Toc500251095"/>
      <w:bookmarkStart w:id="602" w:name="_Toc500251370"/>
      <w:bookmarkStart w:id="603" w:name="_Toc500253967"/>
    </w:p>
    <w:p w14:paraId="3C68EBCE" w14:textId="25C09DCD" w:rsidR="008D1F43" w:rsidRPr="0038754B" w:rsidRDefault="008D1F43">
      <w:pPr>
        <w:pStyle w:val="Heading2"/>
      </w:pPr>
      <w:bookmarkStart w:id="604" w:name="_Toc500401474"/>
      <w:bookmarkStart w:id="605" w:name="_Toc500490959"/>
      <w:bookmarkStart w:id="606" w:name="_Toc500512901"/>
      <w:bookmarkStart w:id="607" w:name="_Toc500514156"/>
      <w:bookmarkStart w:id="608" w:name="_Toc500516213"/>
      <w:r w:rsidRPr="0038754B">
        <w:t>Additionality performance of the E</w:t>
      </w:r>
      <w:r w:rsidR="00A31027">
        <w:t xml:space="preserve">missions </w:t>
      </w:r>
      <w:r w:rsidRPr="0038754B">
        <w:t>R</w:t>
      </w:r>
      <w:r w:rsidR="00A31027">
        <w:t xml:space="preserve">eduction </w:t>
      </w:r>
      <w:r w:rsidRPr="0038754B">
        <w:t>F</w:t>
      </w:r>
      <w:bookmarkEnd w:id="596"/>
      <w:bookmarkEnd w:id="597"/>
      <w:bookmarkEnd w:id="598"/>
      <w:bookmarkEnd w:id="599"/>
      <w:bookmarkEnd w:id="600"/>
      <w:r w:rsidR="00A31027">
        <w:t>und</w:t>
      </w:r>
      <w:bookmarkEnd w:id="601"/>
      <w:bookmarkEnd w:id="602"/>
      <w:bookmarkEnd w:id="603"/>
      <w:bookmarkEnd w:id="604"/>
      <w:bookmarkEnd w:id="605"/>
      <w:bookmarkEnd w:id="606"/>
      <w:bookmarkEnd w:id="607"/>
      <w:bookmarkEnd w:id="608"/>
    </w:p>
    <w:p w14:paraId="202B071E" w14:textId="387DEEDC" w:rsidR="008D1F43" w:rsidRDefault="008D1F43" w:rsidP="008D1F43">
      <w:r w:rsidRPr="0002132E">
        <w:t>Some commentators have raised a concern that the ERF is purchasing abatement that was alread</w:t>
      </w:r>
      <w:r w:rsidRPr="0038754B">
        <w:t>y being undertaken under the CFI and does not incentivise abatement through new projects</w:t>
      </w:r>
      <w:r w:rsidR="00A07449" w:rsidRPr="0038754B">
        <w:t xml:space="preserve"> (</w:t>
      </w:r>
      <w:r w:rsidR="001C391A">
        <w:t xml:space="preserve">Paul </w:t>
      </w:r>
      <w:r w:rsidR="00A07449" w:rsidRPr="0038754B">
        <w:t>Burke</w:t>
      </w:r>
      <w:r w:rsidR="001C391A">
        <w:t>’s</w:t>
      </w:r>
      <w:r w:rsidR="00A07449" w:rsidRPr="0038754B" w:rsidDel="001C391A">
        <w:t xml:space="preserve"> </w:t>
      </w:r>
      <w:r w:rsidR="00A07449" w:rsidRPr="0038754B">
        <w:t xml:space="preserve">submission </w:t>
      </w:r>
      <w:r w:rsidR="002874CD">
        <w:t>on</w:t>
      </w:r>
      <w:r w:rsidR="00A07449" w:rsidRPr="0038754B">
        <w:t xml:space="preserve"> this review</w:t>
      </w:r>
      <w:r w:rsidR="005170EA">
        <w:t>;</w:t>
      </w:r>
      <w:r w:rsidR="00A07449" w:rsidRPr="0038754B">
        <w:t xml:space="preserve"> </w:t>
      </w:r>
      <w:r w:rsidR="00A07449" w:rsidRPr="00E55312">
        <w:rPr>
          <w:rStyle w:val="In-textChar"/>
        </w:rPr>
        <w:t>Taylor 2015</w:t>
      </w:r>
      <w:r w:rsidR="00A07449" w:rsidRPr="0038754B">
        <w:t>)</w:t>
      </w:r>
      <w:r w:rsidRPr="0038754B">
        <w:t xml:space="preserve">. While some of the funding under the ERF has gone to purchasing abatement from projects that transitioned from the CFI, overall, </w:t>
      </w:r>
      <w:r w:rsidR="00BE6F47" w:rsidRPr="0038754B">
        <w:t>79</w:t>
      </w:r>
      <w:r w:rsidRPr="0038754B">
        <w:t xml:space="preserve"> per cent of the contracted abatement </w:t>
      </w:r>
      <w:r w:rsidR="00F542C7">
        <w:t>to 16 November 201</w:t>
      </w:r>
      <w:r w:rsidR="00B72252">
        <w:t xml:space="preserve">7 </w:t>
      </w:r>
      <w:r w:rsidRPr="0038754B">
        <w:t>is linked to a project that first registered under the ERF (rather than the CFI) (</w:t>
      </w:r>
      <w:r w:rsidR="0072413C">
        <w:fldChar w:fldCharType="begin"/>
      </w:r>
      <w:r w:rsidR="0072413C">
        <w:instrText xml:space="preserve"> REF _Ref500326184 \h </w:instrText>
      </w:r>
      <w:r w:rsidR="0072413C">
        <w:fldChar w:fldCharType="separate"/>
      </w:r>
      <w:r w:rsidR="00FA2002">
        <w:t xml:space="preserve">Figure </w:t>
      </w:r>
      <w:r w:rsidR="00FA2002">
        <w:rPr>
          <w:noProof/>
        </w:rPr>
        <w:t>6</w:t>
      </w:r>
      <w:r w:rsidR="0072413C">
        <w:fldChar w:fldCharType="end"/>
      </w:r>
      <w:r w:rsidRPr="0002132E">
        <w:t>). Particularly in later auctions, most of the purchased abatement has been from new</w:t>
      </w:r>
      <w:r w:rsidRPr="0038754B">
        <w:t xml:space="preserve"> projects (</w:t>
      </w:r>
      <w:r w:rsidR="00687CF7">
        <w:fldChar w:fldCharType="begin"/>
      </w:r>
      <w:r w:rsidR="00687CF7">
        <w:instrText xml:space="preserve"> REF _Ref500242759 \h </w:instrText>
      </w:r>
      <w:r w:rsidR="00687CF7">
        <w:fldChar w:fldCharType="separate"/>
      </w:r>
      <w:r w:rsidR="00FA2002" w:rsidRPr="0038754B">
        <w:t xml:space="preserve">Table </w:t>
      </w:r>
      <w:r w:rsidR="00FA2002">
        <w:rPr>
          <w:noProof/>
        </w:rPr>
        <w:t>5</w:t>
      </w:r>
      <w:r w:rsidR="00687CF7">
        <w:fldChar w:fldCharType="end"/>
      </w:r>
      <w:r w:rsidRPr="0038754B">
        <w:t xml:space="preserve">). </w:t>
      </w:r>
    </w:p>
    <w:p w14:paraId="4D67BC2A" w14:textId="114FF583" w:rsidR="0072413C" w:rsidRDefault="0072413C" w:rsidP="0072413C">
      <w:pPr>
        <w:pStyle w:val="CCAFigure"/>
      </w:pPr>
      <w:bookmarkStart w:id="609" w:name="_Ref500326184"/>
      <w:bookmarkStart w:id="610" w:name="_Toc500490920"/>
      <w:bookmarkStart w:id="611" w:name="_Toc500513615"/>
      <w:bookmarkStart w:id="612" w:name="_Toc500516174"/>
      <w:r>
        <w:t xml:space="preserve">Figure </w:t>
      </w:r>
      <w:r w:rsidR="00FA2002">
        <w:fldChar w:fldCharType="begin"/>
      </w:r>
      <w:r w:rsidR="00FA2002">
        <w:instrText xml:space="preserve"> SEQ Figure \* ARABIC </w:instrText>
      </w:r>
      <w:r w:rsidR="00FA2002">
        <w:fldChar w:fldCharType="separate"/>
      </w:r>
      <w:r w:rsidR="00FA2002">
        <w:rPr>
          <w:noProof/>
        </w:rPr>
        <w:t>6</w:t>
      </w:r>
      <w:r w:rsidR="00FA2002">
        <w:rPr>
          <w:noProof/>
        </w:rPr>
        <w:fldChar w:fldCharType="end"/>
      </w:r>
      <w:bookmarkEnd w:id="609"/>
      <w:r>
        <w:t>: Number of projects registered by month of registration before and after the commencement of the ERF</w:t>
      </w:r>
      <w:bookmarkEnd w:id="610"/>
      <w:bookmarkEnd w:id="611"/>
      <w:bookmarkEnd w:id="612"/>
    </w:p>
    <w:p w14:paraId="2DBCD61A" w14:textId="1E9CC1A5" w:rsidR="008D1F43" w:rsidRPr="0038754B" w:rsidRDefault="003D6D22" w:rsidP="00920A12">
      <w:pPr>
        <w:pStyle w:val="Footnote"/>
      </w:pPr>
      <w:r>
        <w:rPr>
          <w:b/>
          <w:noProof/>
          <w:lang w:eastAsia="en-AU"/>
        </w:rPr>
        <w:drawing>
          <wp:inline distT="0" distB="0" distL="0" distR="0" wp14:anchorId="7482B611" wp14:editId="5A9BB77B">
            <wp:extent cx="6303645" cy="3279775"/>
            <wp:effectExtent l="0" t="0" r="1905" b="0"/>
            <wp:docPr id="19" name="Picture 19" descr="Figure 6 is a bar chart that shows the change in the number of projects registered between August 2012 and December 2017, before and after the commencement of the ERF. The vertical axis is the number of projects and the horizontal axis is the month of registration. There were significantly more projects registered under the ERF than the CFI." title="Figure 6: Number of projects registered by month of registration, before and after the commencement of the 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3645" cy="3279775"/>
                    </a:xfrm>
                    <a:prstGeom prst="rect">
                      <a:avLst/>
                    </a:prstGeom>
                    <a:noFill/>
                  </pic:spPr>
                </pic:pic>
              </a:graphicData>
            </a:graphic>
          </wp:inline>
        </w:drawing>
      </w:r>
      <w:r w:rsidR="008D1F43" w:rsidRPr="0038754B">
        <w:rPr>
          <w:b/>
        </w:rPr>
        <w:t>Source</w:t>
      </w:r>
      <w:r w:rsidR="008D1F43" w:rsidRPr="0038754B">
        <w:t xml:space="preserve">: </w:t>
      </w:r>
      <w:r w:rsidR="00AD5389" w:rsidRPr="0038754B">
        <w:t xml:space="preserve">Climate Change Authority based on CER </w:t>
      </w:r>
      <w:r w:rsidR="00B4754E">
        <w:t>2017k</w:t>
      </w:r>
      <w:r w:rsidR="00AD5389" w:rsidRPr="0038754B">
        <w:t>. Data as at 16 November 2017.</w:t>
      </w:r>
    </w:p>
    <w:p w14:paraId="406E72DF" w14:textId="77777777" w:rsidR="00920A12" w:rsidRPr="0038754B" w:rsidRDefault="00920A12" w:rsidP="00920A12">
      <w:pPr>
        <w:pStyle w:val="CCAFigure"/>
        <w:sectPr w:rsidR="00920A12" w:rsidRPr="0038754B" w:rsidSect="009E4B7E">
          <w:headerReference w:type="even" r:id="rId29"/>
          <w:type w:val="continuous"/>
          <w:pgSz w:w="11906" w:h="16838"/>
          <w:pgMar w:top="1418" w:right="1276" w:bottom="567" w:left="1418" w:header="425" w:footer="425" w:gutter="0"/>
          <w:cols w:space="708"/>
          <w:titlePg/>
          <w:docGrid w:linePitch="360"/>
        </w:sectPr>
      </w:pPr>
      <w:bookmarkStart w:id="613" w:name="_Toc494904848"/>
    </w:p>
    <w:p w14:paraId="68399D2A" w14:textId="73657806" w:rsidR="007E0199" w:rsidRDefault="007E0199">
      <w:pPr>
        <w:spacing w:after="0" w:line="240" w:lineRule="auto"/>
        <w:rPr>
          <w:rFonts w:eastAsiaTheme="minorHAnsi" w:cstheme="minorBidi"/>
          <w:color w:val="159DCE"/>
        </w:rPr>
      </w:pPr>
      <w:bookmarkStart w:id="614" w:name="_Toc497819433"/>
      <w:r>
        <w:rPr>
          <w:caps/>
        </w:rPr>
        <w:br w:type="page"/>
      </w:r>
    </w:p>
    <w:p w14:paraId="092508A0" w14:textId="7D017D15" w:rsidR="008D1F43" w:rsidRPr="0038754B" w:rsidRDefault="008D1F43" w:rsidP="00920A12">
      <w:pPr>
        <w:pStyle w:val="CCAFigure"/>
      </w:pPr>
      <w:bookmarkStart w:id="615" w:name="_Toc500516161"/>
      <w:bookmarkStart w:id="616" w:name="_Ref500242759"/>
      <w:bookmarkStart w:id="617" w:name="_Toc498691495"/>
      <w:bookmarkStart w:id="618" w:name="_Toc499051695"/>
      <w:bookmarkStart w:id="619" w:name="_Toc500251044"/>
      <w:bookmarkStart w:id="620" w:name="_Toc500251319"/>
      <w:bookmarkStart w:id="621" w:name="_Toc500253916"/>
      <w:bookmarkStart w:id="622" w:name="_Toc500400119"/>
      <w:bookmarkStart w:id="623" w:name="_Toc500490907"/>
      <w:bookmarkStart w:id="624" w:name="_Toc500513623"/>
      <w:r w:rsidRPr="0038754B">
        <w:t xml:space="preserve">Table </w:t>
      </w:r>
      <w:r w:rsidR="00FA2002">
        <w:fldChar w:fldCharType="begin"/>
      </w:r>
      <w:r w:rsidR="00FA2002">
        <w:instrText xml:space="preserve"> SEQ Table \* ARABIC </w:instrText>
      </w:r>
      <w:r w:rsidR="00FA2002">
        <w:fldChar w:fldCharType="separate"/>
      </w:r>
      <w:r w:rsidR="00FA2002">
        <w:rPr>
          <w:noProof/>
        </w:rPr>
        <w:t>5</w:t>
      </w:r>
      <w:bookmarkEnd w:id="615"/>
      <w:r w:rsidR="00FA2002">
        <w:rPr>
          <w:noProof/>
        </w:rPr>
        <w:fldChar w:fldCharType="end"/>
      </w:r>
      <w:bookmarkEnd w:id="616"/>
      <w:r w:rsidRPr="0038754B">
        <w:t>: ACCUs contracted from projects first registered under the ERF (after December 2014)</w:t>
      </w:r>
      <w:bookmarkEnd w:id="613"/>
      <w:bookmarkEnd w:id="614"/>
      <w:bookmarkEnd w:id="617"/>
      <w:bookmarkEnd w:id="618"/>
      <w:bookmarkEnd w:id="619"/>
      <w:bookmarkEnd w:id="620"/>
      <w:bookmarkEnd w:id="621"/>
      <w:bookmarkEnd w:id="622"/>
      <w:bookmarkEnd w:id="623"/>
      <w:bookmarkEnd w:id="6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583"/>
        <w:gridCol w:w="2816"/>
        <w:gridCol w:w="3168"/>
      </w:tblGrid>
      <w:tr w:rsidR="008D1F43" w:rsidRPr="00856735" w14:paraId="582D616F" w14:textId="77777777" w:rsidTr="00856735">
        <w:trPr>
          <w:cnfStyle w:val="100000000000" w:firstRow="1" w:lastRow="0" w:firstColumn="0" w:lastColumn="0" w:oddVBand="0" w:evenVBand="0" w:oddHBand="0" w:evenHBand="0" w:firstRowFirstColumn="0" w:firstRowLastColumn="0" w:lastRowFirstColumn="0" w:lastRowLastColumn="0"/>
          <w:trHeight w:val="269"/>
        </w:trPr>
        <w:tc>
          <w:tcPr>
            <w:tcW w:w="1226" w:type="dxa"/>
            <w:shd w:val="clear" w:color="auto" w:fill="159DCE"/>
          </w:tcPr>
          <w:p w14:paraId="4EF229D7" w14:textId="77777777" w:rsidR="008D1F43" w:rsidRPr="00856735" w:rsidRDefault="008D1F43" w:rsidP="00856735">
            <w:pPr>
              <w:pStyle w:val="TableHeadingRightAligned"/>
              <w:spacing w:before="40"/>
              <w:jc w:val="left"/>
              <w:rPr>
                <w:szCs w:val="16"/>
              </w:rPr>
            </w:pPr>
            <w:r w:rsidRPr="00856735">
              <w:rPr>
                <w:szCs w:val="16"/>
              </w:rPr>
              <w:t>Auction</w:t>
            </w:r>
          </w:p>
        </w:tc>
        <w:tc>
          <w:tcPr>
            <w:tcW w:w="1583" w:type="dxa"/>
            <w:shd w:val="clear" w:color="auto" w:fill="159DCE"/>
          </w:tcPr>
          <w:p w14:paraId="3B3C0601" w14:textId="77777777" w:rsidR="008D1F43" w:rsidRPr="00856735" w:rsidRDefault="008D1F43" w:rsidP="005B4A5B">
            <w:pPr>
              <w:pStyle w:val="TableHeadingRightAligned"/>
              <w:spacing w:before="40"/>
              <w:rPr>
                <w:szCs w:val="16"/>
              </w:rPr>
            </w:pPr>
            <w:r w:rsidRPr="00856735">
              <w:rPr>
                <w:szCs w:val="16"/>
              </w:rPr>
              <w:t xml:space="preserve">Number of projects </w:t>
            </w:r>
          </w:p>
        </w:tc>
        <w:tc>
          <w:tcPr>
            <w:tcW w:w="2816" w:type="dxa"/>
            <w:shd w:val="clear" w:color="auto" w:fill="159DCE"/>
          </w:tcPr>
          <w:p w14:paraId="08BF3998" w14:textId="77777777" w:rsidR="008D1F43" w:rsidRPr="00856735" w:rsidRDefault="008D1F43" w:rsidP="005B4A5B">
            <w:pPr>
              <w:pStyle w:val="TableHeadingRightAligned"/>
              <w:spacing w:before="40"/>
              <w:rPr>
                <w:szCs w:val="16"/>
              </w:rPr>
            </w:pPr>
            <w:r w:rsidRPr="00856735">
              <w:rPr>
                <w:szCs w:val="16"/>
              </w:rPr>
              <w:t>Number of ACCUs contracted</w:t>
            </w:r>
          </w:p>
        </w:tc>
        <w:tc>
          <w:tcPr>
            <w:tcW w:w="3168" w:type="dxa"/>
            <w:shd w:val="clear" w:color="auto" w:fill="159DCE"/>
          </w:tcPr>
          <w:p w14:paraId="2B113EE8" w14:textId="3BBC5B4D" w:rsidR="008D1F43" w:rsidRPr="00856735" w:rsidRDefault="008D1F43" w:rsidP="005B4A5B">
            <w:pPr>
              <w:pStyle w:val="TableHeadingRightAligned"/>
              <w:spacing w:before="40"/>
              <w:rPr>
                <w:szCs w:val="16"/>
              </w:rPr>
            </w:pPr>
            <w:r w:rsidRPr="00856735">
              <w:rPr>
                <w:szCs w:val="16"/>
              </w:rPr>
              <w:t xml:space="preserve">Percent of ACCUs contracted in </w:t>
            </w:r>
          </w:p>
          <w:p w14:paraId="4FA71715" w14:textId="5DC01130" w:rsidR="008D1F43" w:rsidRPr="00856735" w:rsidRDefault="008D1F43" w:rsidP="005B4A5B">
            <w:pPr>
              <w:pStyle w:val="TableHeadingRightAligned"/>
              <w:spacing w:before="40"/>
              <w:rPr>
                <w:szCs w:val="16"/>
              </w:rPr>
            </w:pPr>
            <w:r w:rsidRPr="00856735">
              <w:rPr>
                <w:szCs w:val="16"/>
              </w:rPr>
              <w:t>each auction from new erf projects</w:t>
            </w:r>
            <w:r w:rsidR="00E921ED" w:rsidRPr="00856735">
              <w:rPr>
                <w:szCs w:val="16"/>
              </w:rPr>
              <w:t>*</w:t>
            </w:r>
          </w:p>
        </w:tc>
      </w:tr>
      <w:tr w:rsidR="008D1F43" w:rsidRPr="00856735" w14:paraId="10820445" w14:textId="77777777" w:rsidTr="001F7616">
        <w:trPr>
          <w:cnfStyle w:val="000000100000" w:firstRow="0" w:lastRow="0" w:firstColumn="0" w:lastColumn="0" w:oddVBand="0" w:evenVBand="0" w:oddHBand="1" w:evenHBand="0" w:firstRowFirstColumn="0" w:firstRowLastColumn="0" w:lastRowFirstColumn="0" w:lastRowLastColumn="0"/>
          <w:trHeight w:val="302"/>
        </w:trPr>
        <w:tc>
          <w:tcPr>
            <w:tcW w:w="1226" w:type="dxa"/>
            <w:tcBorders>
              <w:bottom w:val="dotted" w:sz="4" w:space="0" w:color="auto"/>
            </w:tcBorders>
          </w:tcPr>
          <w:p w14:paraId="5FFFD33D" w14:textId="77777777" w:rsidR="008D1F43" w:rsidRPr="00AC7279" w:rsidRDefault="008D1F43" w:rsidP="00856735">
            <w:pPr>
              <w:spacing w:after="80"/>
              <w:rPr>
                <w:b/>
                <w:sz w:val="16"/>
                <w:szCs w:val="16"/>
              </w:rPr>
            </w:pPr>
            <w:r w:rsidRPr="00AC7279">
              <w:rPr>
                <w:b/>
                <w:sz w:val="16"/>
                <w:szCs w:val="16"/>
              </w:rPr>
              <w:t>1</w:t>
            </w:r>
          </w:p>
        </w:tc>
        <w:tc>
          <w:tcPr>
            <w:tcW w:w="1583" w:type="dxa"/>
            <w:tcBorders>
              <w:bottom w:val="dotted" w:sz="4" w:space="0" w:color="auto"/>
            </w:tcBorders>
            <w:vAlign w:val="bottom"/>
          </w:tcPr>
          <w:p w14:paraId="7457A4EC" w14:textId="77777777" w:rsidR="008D1F43" w:rsidRPr="00856735" w:rsidRDefault="00BE6F47" w:rsidP="00856735">
            <w:pPr>
              <w:spacing w:after="80"/>
              <w:jc w:val="right"/>
              <w:rPr>
                <w:rFonts w:cs="Arial"/>
                <w:sz w:val="16"/>
                <w:szCs w:val="16"/>
              </w:rPr>
            </w:pPr>
            <w:r w:rsidRPr="00856735">
              <w:rPr>
                <w:rFonts w:cs="Arial"/>
                <w:color w:val="000000"/>
                <w:sz w:val="16"/>
                <w:szCs w:val="16"/>
              </w:rPr>
              <w:t>37</w:t>
            </w:r>
          </w:p>
        </w:tc>
        <w:tc>
          <w:tcPr>
            <w:tcW w:w="2816" w:type="dxa"/>
            <w:tcBorders>
              <w:bottom w:val="dotted" w:sz="4" w:space="0" w:color="auto"/>
            </w:tcBorders>
            <w:vAlign w:val="bottom"/>
          </w:tcPr>
          <w:p w14:paraId="615EE2CD" w14:textId="77777777" w:rsidR="008D1F43" w:rsidRPr="00856735" w:rsidRDefault="00BE6F47" w:rsidP="00856735">
            <w:pPr>
              <w:spacing w:after="80"/>
              <w:jc w:val="right"/>
              <w:rPr>
                <w:rFonts w:cs="Arial"/>
                <w:sz w:val="16"/>
                <w:szCs w:val="16"/>
              </w:rPr>
            </w:pPr>
            <w:r w:rsidRPr="00856735">
              <w:rPr>
                <w:rFonts w:cs="Arial"/>
                <w:color w:val="000000"/>
                <w:sz w:val="16"/>
                <w:szCs w:val="16"/>
              </w:rPr>
              <w:t xml:space="preserve">           13,769,042 </w:t>
            </w:r>
          </w:p>
        </w:tc>
        <w:tc>
          <w:tcPr>
            <w:tcW w:w="3168" w:type="dxa"/>
            <w:tcBorders>
              <w:bottom w:val="dotted" w:sz="4" w:space="0" w:color="auto"/>
            </w:tcBorders>
            <w:vAlign w:val="bottom"/>
          </w:tcPr>
          <w:p w14:paraId="102FB010" w14:textId="77777777" w:rsidR="008D1F43" w:rsidRPr="00856735" w:rsidRDefault="00BE6F47" w:rsidP="00856735">
            <w:pPr>
              <w:spacing w:after="80"/>
              <w:jc w:val="right"/>
              <w:rPr>
                <w:rFonts w:cs="Arial"/>
                <w:sz w:val="16"/>
                <w:szCs w:val="16"/>
              </w:rPr>
            </w:pPr>
            <w:r w:rsidRPr="00856735">
              <w:rPr>
                <w:rFonts w:cs="Arial"/>
                <w:color w:val="000000"/>
                <w:sz w:val="16"/>
                <w:szCs w:val="16"/>
              </w:rPr>
              <w:t>29</w:t>
            </w:r>
          </w:p>
        </w:tc>
      </w:tr>
      <w:tr w:rsidR="008D1F43" w:rsidRPr="00856735" w14:paraId="4C1963C8" w14:textId="77777777" w:rsidTr="001F7616">
        <w:trPr>
          <w:cnfStyle w:val="000000010000" w:firstRow="0" w:lastRow="0" w:firstColumn="0" w:lastColumn="0" w:oddVBand="0" w:evenVBand="0" w:oddHBand="0" w:evenHBand="1" w:firstRowFirstColumn="0" w:firstRowLastColumn="0" w:lastRowFirstColumn="0" w:lastRowLastColumn="0"/>
          <w:trHeight w:val="302"/>
        </w:trPr>
        <w:tc>
          <w:tcPr>
            <w:tcW w:w="1226" w:type="dxa"/>
            <w:tcBorders>
              <w:top w:val="dotted" w:sz="4" w:space="0" w:color="auto"/>
              <w:bottom w:val="dotted" w:sz="4" w:space="0" w:color="auto"/>
            </w:tcBorders>
          </w:tcPr>
          <w:p w14:paraId="66EA9638" w14:textId="77777777" w:rsidR="008D1F43" w:rsidRPr="00AC7279" w:rsidRDefault="008D1F43" w:rsidP="00856735">
            <w:pPr>
              <w:spacing w:after="80"/>
              <w:rPr>
                <w:b/>
                <w:sz w:val="16"/>
                <w:szCs w:val="16"/>
              </w:rPr>
            </w:pPr>
            <w:r w:rsidRPr="00AC7279">
              <w:rPr>
                <w:b/>
                <w:sz w:val="16"/>
                <w:szCs w:val="16"/>
              </w:rPr>
              <w:t>2</w:t>
            </w:r>
          </w:p>
        </w:tc>
        <w:tc>
          <w:tcPr>
            <w:tcW w:w="1583" w:type="dxa"/>
            <w:tcBorders>
              <w:top w:val="dotted" w:sz="4" w:space="0" w:color="auto"/>
              <w:bottom w:val="dotted" w:sz="4" w:space="0" w:color="auto"/>
            </w:tcBorders>
            <w:vAlign w:val="bottom"/>
          </w:tcPr>
          <w:p w14:paraId="5091C34D" w14:textId="77777777" w:rsidR="008D1F43" w:rsidRPr="00856735" w:rsidRDefault="00BE6F47" w:rsidP="00856735">
            <w:pPr>
              <w:spacing w:after="80"/>
              <w:jc w:val="right"/>
              <w:rPr>
                <w:rFonts w:cs="Arial"/>
                <w:sz w:val="16"/>
                <w:szCs w:val="16"/>
              </w:rPr>
            </w:pPr>
            <w:r w:rsidRPr="00856735">
              <w:rPr>
                <w:rFonts w:cs="Arial"/>
                <w:color w:val="000000"/>
                <w:sz w:val="16"/>
                <w:szCs w:val="16"/>
              </w:rPr>
              <w:t>115</w:t>
            </w:r>
          </w:p>
        </w:tc>
        <w:tc>
          <w:tcPr>
            <w:tcW w:w="2816" w:type="dxa"/>
            <w:tcBorders>
              <w:top w:val="dotted" w:sz="4" w:space="0" w:color="auto"/>
              <w:bottom w:val="dotted" w:sz="4" w:space="0" w:color="auto"/>
            </w:tcBorders>
            <w:vAlign w:val="bottom"/>
          </w:tcPr>
          <w:p w14:paraId="02FE3C77" w14:textId="77777777" w:rsidR="008D1F43" w:rsidRPr="00856735" w:rsidRDefault="00BE6F47" w:rsidP="00856735">
            <w:pPr>
              <w:spacing w:after="80"/>
              <w:jc w:val="right"/>
              <w:rPr>
                <w:rFonts w:cs="Arial"/>
                <w:sz w:val="16"/>
                <w:szCs w:val="16"/>
              </w:rPr>
            </w:pPr>
            <w:r w:rsidRPr="00856735">
              <w:rPr>
                <w:rFonts w:cs="Arial"/>
                <w:color w:val="000000"/>
                <w:sz w:val="16"/>
                <w:szCs w:val="16"/>
              </w:rPr>
              <w:t xml:space="preserve">           42,030,337 </w:t>
            </w:r>
          </w:p>
        </w:tc>
        <w:tc>
          <w:tcPr>
            <w:tcW w:w="3168" w:type="dxa"/>
            <w:tcBorders>
              <w:top w:val="dotted" w:sz="4" w:space="0" w:color="auto"/>
              <w:bottom w:val="dotted" w:sz="4" w:space="0" w:color="auto"/>
            </w:tcBorders>
            <w:vAlign w:val="bottom"/>
          </w:tcPr>
          <w:p w14:paraId="6E624C63" w14:textId="77777777" w:rsidR="008D1F43" w:rsidRPr="00856735" w:rsidRDefault="00BE6F47" w:rsidP="00856735">
            <w:pPr>
              <w:spacing w:after="80"/>
              <w:jc w:val="right"/>
              <w:rPr>
                <w:rFonts w:cs="Arial"/>
                <w:sz w:val="16"/>
                <w:szCs w:val="16"/>
              </w:rPr>
            </w:pPr>
            <w:r w:rsidRPr="00856735">
              <w:rPr>
                <w:rFonts w:cs="Arial"/>
                <w:color w:val="000000"/>
                <w:sz w:val="16"/>
                <w:szCs w:val="16"/>
              </w:rPr>
              <w:t>92</w:t>
            </w:r>
          </w:p>
        </w:tc>
      </w:tr>
      <w:tr w:rsidR="008D1F43" w:rsidRPr="00856735" w14:paraId="2B2C530F" w14:textId="77777777" w:rsidTr="001F7616">
        <w:trPr>
          <w:cnfStyle w:val="000000100000" w:firstRow="0" w:lastRow="0" w:firstColumn="0" w:lastColumn="0" w:oddVBand="0" w:evenVBand="0" w:oddHBand="1" w:evenHBand="0" w:firstRowFirstColumn="0" w:firstRowLastColumn="0" w:lastRowFirstColumn="0" w:lastRowLastColumn="0"/>
          <w:trHeight w:val="314"/>
        </w:trPr>
        <w:tc>
          <w:tcPr>
            <w:tcW w:w="1226" w:type="dxa"/>
            <w:tcBorders>
              <w:top w:val="dotted" w:sz="4" w:space="0" w:color="auto"/>
              <w:bottom w:val="dotted" w:sz="4" w:space="0" w:color="auto"/>
            </w:tcBorders>
          </w:tcPr>
          <w:p w14:paraId="0515DD21" w14:textId="77777777" w:rsidR="008D1F43" w:rsidRPr="00AC7279" w:rsidRDefault="008D1F43" w:rsidP="00856735">
            <w:pPr>
              <w:spacing w:after="80"/>
              <w:rPr>
                <w:b/>
                <w:sz w:val="16"/>
                <w:szCs w:val="16"/>
              </w:rPr>
            </w:pPr>
            <w:r w:rsidRPr="00AC7279">
              <w:rPr>
                <w:b/>
                <w:sz w:val="16"/>
                <w:szCs w:val="16"/>
              </w:rPr>
              <w:t>3</w:t>
            </w:r>
          </w:p>
        </w:tc>
        <w:tc>
          <w:tcPr>
            <w:tcW w:w="1583" w:type="dxa"/>
            <w:tcBorders>
              <w:top w:val="dotted" w:sz="4" w:space="0" w:color="auto"/>
              <w:bottom w:val="dotted" w:sz="4" w:space="0" w:color="auto"/>
            </w:tcBorders>
            <w:vAlign w:val="bottom"/>
          </w:tcPr>
          <w:p w14:paraId="32D0FCED" w14:textId="77777777" w:rsidR="008D1F43" w:rsidRPr="00856735" w:rsidRDefault="00BE6F47" w:rsidP="00856735">
            <w:pPr>
              <w:spacing w:after="80"/>
              <w:jc w:val="right"/>
              <w:rPr>
                <w:rFonts w:cs="Arial"/>
                <w:sz w:val="16"/>
                <w:szCs w:val="16"/>
              </w:rPr>
            </w:pPr>
            <w:r w:rsidRPr="00856735">
              <w:rPr>
                <w:rFonts w:cs="Arial"/>
                <w:color w:val="000000"/>
                <w:sz w:val="16"/>
                <w:szCs w:val="16"/>
              </w:rPr>
              <w:t>63</w:t>
            </w:r>
          </w:p>
        </w:tc>
        <w:tc>
          <w:tcPr>
            <w:tcW w:w="2816" w:type="dxa"/>
            <w:tcBorders>
              <w:top w:val="dotted" w:sz="4" w:space="0" w:color="auto"/>
              <w:bottom w:val="dotted" w:sz="4" w:space="0" w:color="auto"/>
            </w:tcBorders>
            <w:vAlign w:val="bottom"/>
          </w:tcPr>
          <w:p w14:paraId="1683E3F2" w14:textId="77777777" w:rsidR="008D1F43" w:rsidRPr="00856735" w:rsidRDefault="00BE6F47" w:rsidP="00856735">
            <w:pPr>
              <w:spacing w:after="80"/>
              <w:jc w:val="right"/>
              <w:rPr>
                <w:rFonts w:cs="Arial"/>
                <w:sz w:val="16"/>
                <w:szCs w:val="16"/>
              </w:rPr>
            </w:pPr>
            <w:r w:rsidRPr="00856735">
              <w:rPr>
                <w:rFonts w:cs="Arial"/>
                <w:color w:val="000000"/>
                <w:sz w:val="16"/>
                <w:szCs w:val="16"/>
              </w:rPr>
              <w:t xml:space="preserve">           49,720,061 </w:t>
            </w:r>
          </w:p>
        </w:tc>
        <w:tc>
          <w:tcPr>
            <w:tcW w:w="3168" w:type="dxa"/>
            <w:tcBorders>
              <w:top w:val="dotted" w:sz="4" w:space="0" w:color="auto"/>
              <w:bottom w:val="dotted" w:sz="4" w:space="0" w:color="auto"/>
            </w:tcBorders>
            <w:vAlign w:val="bottom"/>
          </w:tcPr>
          <w:p w14:paraId="5CCC7834" w14:textId="77777777" w:rsidR="008D1F43" w:rsidRPr="00856735" w:rsidRDefault="00BE6F47" w:rsidP="00856735">
            <w:pPr>
              <w:spacing w:after="80"/>
              <w:jc w:val="right"/>
              <w:rPr>
                <w:rFonts w:cs="Arial"/>
                <w:sz w:val="16"/>
                <w:szCs w:val="16"/>
              </w:rPr>
            </w:pPr>
            <w:r w:rsidRPr="00856735">
              <w:rPr>
                <w:rFonts w:cs="Arial"/>
                <w:color w:val="000000"/>
                <w:sz w:val="16"/>
                <w:szCs w:val="16"/>
              </w:rPr>
              <w:t>99</w:t>
            </w:r>
          </w:p>
        </w:tc>
      </w:tr>
      <w:tr w:rsidR="008D1F43" w:rsidRPr="00856735" w14:paraId="5B0D643E" w14:textId="77777777" w:rsidTr="001F7616">
        <w:trPr>
          <w:cnfStyle w:val="000000010000" w:firstRow="0" w:lastRow="0" w:firstColumn="0" w:lastColumn="0" w:oddVBand="0" w:evenVBand="0" w:oddHBand="0" w:evenHBand="1" w:firstRowFirstColumn="0" w:firstRowLastColumn="0" w:lastRowFirstColumn="0" w:lastRowLastColumn="0"/>
          <w:trHeight w:val="302"/>
        </w:trPr>
        <w:tc>
          <w:tcPr>
            <w:tcW w:w="1226" w:type="dxa"/>
            <w:tcBorders>
              <w:top w:val="dotted" w:sz="4" w:space="0" w:color="auto"/>
              <w:bottom w:val="dotted" w:sz="4" w:space="0" w:color="auto"/>
            </w:tcBorders>
          </w:tcPr>
          <w:p w14:paraId="5E7B3D11" w14:textId="77777777" w:rsidR="008D1F43" w:rsidRPr="00AC7279" w:rsidRDefault="008D1F43" w:rsidP="00856735">
            <w:pPr>
              <w:spacing w:after="80"/>
              <w:rPr>
                <w:b/>
                <w:sz w:val="16"/>
                <w:szCs w:val="16"/>
              </w:rPr>
            </w:pPr>
            <w:r w:rsidRPr="00AC7279">
              <w:rPr>
                <w:b/>
                <w:sz w:val="16"/>
                <w:szCs w:val="16"/>
              </w:rPr>
              <w:t>4</w:t>
            </w:r>
          </w:p>
        </w:tc>
        <w:tc>
          <w:tcPr>
            <w:tcW w:w="1583" w:type="dxa"/>
            <w:tcBorders>
              <w:top w:val="dotted" w:sz="4" w:space="0" w:color="auto"/>
              <w:bottom w:val="dotted" w:sz="4" w:space="0" w:color="auto"/>
            </w:tcBorders>
            <w:vAlign w:val="bottom"/>
          </w:tcPr>
          <w:p w14:paraId="38E28E1E" w14:textId="77777777" w:rsidR="008D1F43" w:rsidRPr="00856735" w:rsidRDefault="00BE6F47" w:rsidP="00856735">
            <w:pPr>
              <w:spacing w:after="80"/>
              <w:jc w:val="right"/>
              <w:rPr>
                <w:rFonts w:cs="Arial"/>
                <w:sz w:val="16"/>
                <w:szCs w:val="16"/>
              </w:rPr>
            </w:pPr>
            <w:r w:rsidRPr="00856735">
              <w:rPr>
                <w:rFonts w:cs="Arial"/>
                <w:color w:val="000000"/>
                <w:sz w:val="16"/>
                <w:szCs w:val="16"/>
              </w:rPr>
              <w:t>48</w:t>
            </w:r>
          </w:p>
        </w:tc>
        <w:tc>
          <w:tcPr>
            <w:tcW w:w="2816" w:type="dxa"/>
            <w:tcBorders>
              <w:top w:val="dotted" w:sz="4" w:space="0" w:color="auto"/>
              <w:bottom w:val="dotted" w:sz="4" w:space="0" w:color="auto"/>
            </w:tcBorders>
            <w:vAlign w:val="bottom"/>
          </w:tcPr>
          <w:p w14:paraId="6672DFAD" w14:textId="77777777" w:rsidR="008D1F43" w:rsidRPr="00856735" w:rsidRDefault="00BE6F47" w:rsidP="00856735">
            <w:pPr>
              <w:spacing w:after="80"/>
              <w:jc w:val="right"/>
              <w:rPr>
                <w:rFonts w:cs="Arial"/>
                <w:sz w:val="16"/>
                <w:szCs w:val="16"/>
              </w:rPr>
            </w:pPr>
            <w:r w:rsidRPr="00856735">
              <w:rPr>
                <w:rFonts w:cs="Arial"/>
                <w:color w:val="000000"/>
                <w:sz w:val="16"/>
                <w:szCs w:val="16"/>
              </w:rPr>
              <w:t xml:space="preserve">           34,336,058 </w:t>
            </w:r>
          </w:p>
        </w:tc>
        <w:tc>
          <w:tcPr>
            <w:tcW w:w="3168" w:type="dxa"/>
            <w:tcBorders>
              <w:top w:val="dotted" w:sz="4" w:space="0" w:color="auto"/>
              <w:bottom w:val="dotted" w:sz="4" w:space="0" w:color="auto"/>
            </w:tcBorders>
            <w:vAlign w:val="bottom"/>
          </w:tcPr>
          <w:p w14:paraId="5FFBD453" w14:textId="77777777" w:rsidR="008D1F43" w:rsidRPr="00856735" w:rsidRDefault="00BE6F47" w:rsidP="00856735">
            <w:pPr>
              <w:spacing w:after="80"/>
              <w:jc w:val="right"/>
              <w:rPr>
                <w:rFonts w:cs="Arial"/>
                <w:sz w:val="16"/>
                <w:szCs w:val="16"/>
              </w:rPr>
            </w:pPr>
            <w:r w:rsidRPr="00856735">
              <w:rPr>
                <w:rFonts w:cs="Arial"/>
                <w:color w:val="000000"/>
                <w:sz w:val="16"/>
                <w:szCs w:val="16"/>
              </w:rPr>
              <w:t>100</w:t>
            </w:r>
          </w:p>
        </w:tc>
      </w:tr>
      <w:tr w:rsidR="008D1F43" w:rsidRPr="00856735" w14:paraId="6D3B505D" w14:textId="77777777" w:rsidTr="001F7616">
        <w:trPr>
          <w:cnfStyle w:val="000000100000" w:firstRow="0" w:lastRow="0" w:firstColumn="0" w:lastColumn="0" w:oddVBand="0" w:evenVBand="0" w:oddHBand="1" w:evenHBand="0" w:firstRowFirstColumn="0" w:firstRowLastColumn="0" w:lastRowFirstColumn="0" w:lastRowLastColumn="0"/>
          <w:trHeight w:val="302"/>
        </w:trPr>
        <w:tc>
          <w:tcPr>
            <w:tcW w:w="1226" w:type="dxa"/>
            <w:tcBorders>
              <w:top w:val="dotted" w:sz="4" w:space="0" w:color="auto"/>
              <w:bottom w:val="dotted" w:sz="4" w:space="0" w:color="auto"/>
            </w:tcBorders>
          </w:tcPr>
          <w:p w14:paraId="2BCB9489" w14:textId="77777777" w:rsidR="008D1F43" w:rsidRPr="00AC7279" w:rsidRDefault="008D1F43" w:rsidP="00856735">
            <w:pPr>
              <w:spacing w:after="80"/>
              <w:rPr>
                <w:b/>
                <w:sz w:val="16"/>
                <w:szCs w:val="16"/>
              </w:rPr>
            </w:pPr>
            <w:r w:rsidRPr="00AC7279">
              <w:rPr>
                <w:b/>
                <w:sz w:val="16"/>
                <w:szCs w:val="16"/>
              </w:rPr>
              <w:t>5</w:t>
            </w:r>
          </w:p>
        </w:tc>
        <w:tc>
          <w:tcPr>
            <w:tcW w:w="1583" w:type="dxa"/>
            <w:tcBorders>
              <w:top w:val="dotted" w:sz="4" w:space="0" w:color="auto"/>
              <w:bottom w:val="dotted" w:sz="4" w:space="0" w:color="auto"/>
            </w:tcBorders>
            <w:vAlign w:val="bottom"/>
          </w:tcPr>
          <w:p w14:paraId="3C0E28D5" w14:textId="77777777" w:rsidR="008D1F43" w:rsidRPr="00856735" w:rsidRDefault="00BE6F47" w:rsidP="00856735">
            <w:pPr>
              <w:spacing w:after="80"/>
              <w:jc w:val="right"/>
              <w:rPr>
                <w:rFonts w:cs="Arial"/>
                <w:sz w:val="16"/>
                <w:szCs w:val="16"/>
              </w:rPr>
            </w:pPr>
            <w:r w:rsidRPr="00856735">
              <w:rPr>
                <w:rFonts w:cs="Arial"/>
                <w:color w:val="000000"/>
                <w:sz w:val="16"/>
                <w:szCs w:val="16"/>
              </w:rPr>
              <w:t>30</w:t>
            </w:r>
          </w:p>
        </w:tc>
        <w:tc>
          <w:tcPr>
            <w:tcW w:w="2816" w:type="dxa"/>
            <w:tcBorders>
              <w:top w:val="dotted" w:sz="4" w:space="0" w:color="auto"/>
              <w:bottom w:val="dotted" w:sz="4" w:space="0" w:color="auto"/>
            </w:tcBorders>
            <w:vAlign w:val="bottom"/>
          </w:tcPr>
          <w:p w14:paraId="06413DC9" w14:textId="77777777" w:rsidR="008D1F43" w:rsidRPr="00856735" w:rsidRDefault="00BE6F47" w:rsidP="00856735">
            <w:pPr>
              <w:spacing w:after="80"/>
              <w:jc w:val="right"/>
              <w:rPr>
                <w:rFonts w:cs="Arial"/>
                <w:sz w:val="16"/>
                <w:szCs w:val="16"/>
              </w:rPr>
            </w:pPr>
            <w:r w:rsidRPr="00856735">
              <w:rPr>
                <w:rFonts w:cs="Arial"/>
                <w:color w:val="000000"/>
                <w:sz w:val="16"/>
                <w:szCs w:val="16"/>
              </w:rPr>
              <w:t xml:space="preserve">           10,137,321 </w:t>
            </w:r>
          </w:p>
        </w:tc>
        <w:tc>
          <w:tcPr>
            <w:tcW w:w="3168" w:type="dxa"/>
            <w:tcBorders>
              <w:top w:val="dotted" w:sz="4" w:space="0" w:color="auto"/>
              <w:bottom w:val="dotted" w:sz="4" w:space="0" w:color="auto"/>
            </w:tcBorders>
            <w:vAlign w:val="bottom"/>
          </w:tcPr>
          <w:p w14:paraId="0FEC09A9" w14:textId="77777777" w:rsidR="008D1F43" w:rsidRPr="00856735" w:rsidRDefault="00BE6F47" w:rsidP="00856735">
            <w:pPr>
              <w:spacing w:after="80"/>
              <w:jc w:val="right"/>
              <w:rPr>
                <w:rFonts w:cs="Arial"/>
                <w:sz w:val="16"/>
                <w:szCs w:val="16"/>
              </w:rPr>
            </w:pPr>
            <w:r w:rsidRPr="00856735">
              <w:rPr>
                <w:rFonts w:cs="Arial"/>
                <w:color w:val="000000"/>
                <w:sz w:val="16"/>
                <w:szCs w:val="16"/>
              </w:rPr>
              <w:t>90</w:t>
            </w:r>
          </w:p>
        </w:tc>
      </w:tr>
      <w:tr w:rsidR="008D1F43" w:rsidRPr="00856735" w14:paraId="381B453F" w14:textId="77777777" w:rsidTr="005B4A5B">
        <w:trPr>
          <w:cnfStyle w:val="000000010000" w:firstRow="0" w:lastRow="0" w:firstColumn="0" w:lastColumn="0" w:oddVBand="0" w:evenVBand="0" w:oddHBand="0" w:evenHBand="1" w:firstRowFirstColumn="0" w:firstRowLastColumn="0" w:lastRowFirstColumn="0" w:lastRowLastColumn="0"/>
          <w:trHeight w:val="302"/>
        </w:trPr>
        <w:tc>
          <w:tcPr>
            <w:tcW w:w="1226" w:type="dxa"/>
            <w:tcBorders>
              <w:top w:val="dotted" w:sz="4" w:space="0" w:color="auto"/>
            </w:tcBorders>
          </w:tcPr>
          <w:p w14:paraId="1786F3ED" w14:textId="77777777" w:rsidR="008D1F43" w:rsidRPr="00AC7279" w:rsidRDefault="008D1F43" w:rsidP="00856735">
            <w:pPr>
              <w:spacing w:after="80"/>
              <w:rPr>
                <w:b/>
                <w:sz w:val="16"/>
                <w:szCs w:val="16"/>
              </w:rPr>
            </w:pPr>
            <w:r w:rsidRPr="00AC7279">
              <w:rPr>
                <w:b/>
                <w:sz w:val="16"/>
                <w:szCs w:val="16"/>
              </w:rPr>
              <w:t>Total</w:t>
            </w:r>
          </w:p>
        </w:tc>
        <w:tc>
          <w:tcPr>
            <w:tcW w:w="1583" w:type="dxa"/>
            <w:tcBorders>
              <w:top w:val="dotted" w:sz="4" w:space="0" w:color="auto"/>
            </w:tcBorders>
            <w:vAlign w:val="bottom"/>
          </w:tcPr>
          <w:p w14:paraId="2F48938E" w14:textId="77777777" w:rsidR="008D1F43" w:rsidRPr="00AC7279" w:rsidRDefault="00BE6F47" w:rsidP="00856735">
            <w:pPr>
              <w:spacing w:after="80"/>
              <w:jc w:val="right"/>
              <w:rPr>
                <w:rFonts w:cs="Arial"/>
                <w:b/>
                <w:color w:val="000000"/>
                <w:sz w:val="16"/>
                <w:szCs w:val="16"/>
              </w:rPr>
            </w:pPr>
            <w:r w:rsidRPr="00AC7279">
              <w:rPr>
                <w:rFonts w:cs="Arial"/>
                <w:b/>
                <w:color w:val="000000"/>
                <w:sz w:val="16"/>
                <w:szCs w:val="16"/>
              </w:rPr>
              <w:t>293</w:t>
            </w:r>
          </w:p>
        </w:tc>
        <w:tc>
          <w:tcPr>
            <w:tcW w:w="2816" w:type="dxa"/>
            <w:tcBorders>
              <w:top w:val="dotted" w:sz="4" w:space="0" w:color="auto"/>
            </w:tcBorders>
            <w:vAlign w:val="bottom"/>
          </w:tcPr>
          <w:p w14:paraId="0E517ADE" w14:textId="77777777" w:rsidR="008D1F43" w:rsidRPr="00AC7279" w:rsidRDefault="00BE6F47" w:rsidP="00856735">
            <w:pPr>
              <w:spacing w:after="80"/>
              <w:jc w:val="right"/>
              <w:rPr>
                <w:rFonts w:cs="Arial"/>
                <w:b/>
                <w:color w:val="000000"/>
                <w:sz w:val="16"/>
                <w:szCs w:val="16"/>
              </w:rPr>
            </w:pPr>
            <w:r w:rsidRPr="00AC7279">
              <w:rPr>
                <w:rFonts w:cs="Arial"/>
                <w:b/>
                <w:color w:val="000000"/>
                <w:sz w:val="16"/>
                <w:szCs w:val="16"/>
              </w:rPr>
              <w:t xml:space="preserve">         149,992,819 </w:t>
            </w:r>
          </w:p>
        </w:tc>
        <w:tc>
          <w:tcPr>
            <w:tcW w:w="3168" w:type="dxa"/>
            <w:tcBorders>
              <w:top w:val="dotted" w:sz="4" w:space="0" w:color="auto"/>
            </w:tcBorders>
            <w:vAlign w:val="bottom"/>
          </w:tcPr>
          <w:p w14:paraId="66E346AD" w14:textId="77777777" w:rsidR="008D1F43" w:rsidRPr="00AC7279" w:rsidRDefault="00BE6F47" w:rsidP="00856735">
            <w:pPr>
              <w:spacing w:after="80"/>
              <w:jc w:val="right"/>
              <w:rPr>
                <w:rFonts w:cs="Arial"/>
                <w:b/>
                <w:color w:val="000000"/>
                <w:sz w:val="16"/>
                <w:szCs w:val="16"/>
              </w:rPr>
            </w:pPr>
            <w:r w:rsidRPr="00AC7279">
              <w:rPr>
                <w:rFonts w:cs="Arial"/>
                <w:b/>
                <w:color w:val="000000"/>
                <w:sz w:val="16"/>
                <w:szCs w:val="16"/>
              </w:rPr>
              <w:t>79</w:t>
            </w:r>
          </w:p>
        </w:tc>
      </w:tr>
    </w:tbl>
    <w:p w14:paraId="3A0C3EB1" w14:textId="5668A557" w:rsidR="00056722" w:rsidRDefault="00460B33" w:rsidP="00AC7279">
      <w:pPr>
        <w:pStyle w:val="Footnote"/>
        <w:spacing w:after="0"/>
        <w:rPr>
          <w:b/>
        </w:rPr>
      </w:pPr>
      <w:r w:rsidRPr="00AC7279">
        <w:rPr>
          <w:b/>
        </w:rPr>
        <w:t>Note</w:t>
      </w:r>
      <w:r w:rsidRPr="0038754B">
        <w:t xml:space="preserve">: </w:t>
      </w:r>
      <w:r>
        <w:t>*</w:t>
      </w:r>
      <w:r w:rsidRPr="0038754B">
        <w:t xml:space="preserve">The remaining percentage of ACCUs contracted at each auction came from transitioning CFI projects. </w:t>
      </w:r>
      <w:r w:rsidR="00A11754" w:rsidRPr="0038754B">
        <w:t>Data as at 16 November 2017</w:t>
      </w:r>
    </w:p>
    <w:p w14:paraId="093C5908" w14:textId="03DDE0CD" w:rsidR="008D1F43" w:rsidRPr="0038754B" w:rsidRDefault="008D1F43" w:rsidP="00AC7279">
      <w:pPr>
        <w:pStyle w:val="Footnote"/>
        <w:spacing w:after="0"/>
      </w:pPr>
      <w:r w:rsidRPr="0038754B">
        <w:rPr>
          <w:b/>
        </w:rPr>
        <w:t>Source</w:t>
      </w:r>
      <w:r w:rsidRPr="0038754B">
        <w:t xml:space="preserve">: </w:t>
      </w:r>
      <w:r w:rsidR="00AD5389" w:rsidRPr="0038754B">
        <w:t xml:space="preserve">Climate Change Authority based on CER </w:t>
      </w:r>
      <w:r w:rsidR="00B4754E">
        <w:t>2017k</w:t>
      </w:r>
      <w:r w:rsidR="00CF7674">
        <w:t>; CER 2017</w:t>
      </w:r>
      <w:r w:rsidR="00FB04F2">
        <w:t>n</w:t>
      </w:r>
      <w:r w:rsidR="00AD5389" w:rsidRPr="0038754B">
        <w:t>.</w:t>
      </w:r>
      <w:r w:rsidRPr="0038754B">
        <w:t xml:space="preserve">. </w:t>
      </w:r>
    </w:p>
    <w:p w14:paraId="74060F91" w14:textId="77777777" w:rsidR="003D6D22" w:rsidRPr="0038754B" w:rsidRDefault="003D6D22" w:rsidP="00AC7279">
      <w:pPr>
        <w:pStyle w:val="Footnote"/>
        <w:spacing w:after="0"/>
      </w:pPr>
    </w:p>
    <w:p w14:paraId="35CFFFDA" w14:textId="0D344375" w:rsidR="008D1F43" w:rsidRPr="0038754B" w:rsidRDefault="008D1F43" w:rsidP="008D1F43">
      <w:r w:rsidRPr="0038754B">
        <w:t>The A</w:t>
      </w:r>
      <w:r w:rsidR="00444E1F">
        <w:t xml:space="preserve">ustralian </w:t>
      </w:r>
      <w:r w:rsidRPr="0038754B">
        <w:t>N</w:t>
      </w:r>
      <w:r w:rsidR="00444E1F">
        <w:t xml:space="preserve">ational </w:t>
      </w:r>
      <w:r w:rsidRPr="0038754B">
        <w:t>U</w:t>
      </w:r>
      <w:r w:rsidR="00444E1F">
        <w:t>niversity</w:t>
      </w:r>
      <w:r w:rsidRPr="0038754B">
        <w:t xml:space="preserve"> academic, Dr Paul Burke </w:t>
      </w:r>
      <w:r w:rsidR="00A07449" w:rsidRPr="0038754B">
        <w:t xml:space="preserve">(in his submission </w:t>
      </w:r>
      <w:r w:rsidR="002874CD">
        <w:t>on</w:t>
      </w:r>
      <w:r w:rsidR="00A07449" w:rsidRPr="0038754B">
        <w:t xml:space="preserve"> this review)</w:t>
      </w:r>
      <w:r w:rsidRPr="0038754B">
        <w:t xml:space="preserve"> has identified a class of ERF projects (including energy efficiency improvements in manufacturing and transport) that he believes are non-additional. </w:t>
      </w:r>
    </w:p>
    <w:p w14:paraId="07970F03" w14:textId="290C9D79" w:rsidR="008D1F43" w:rsidRPr="0038754B" w:rsidRDefault="008D1F43" w:rsidP="008D1F43">
      <w:pPr>
        <w:pStyle w:val="ListBullet"/>
        <w:numPr>
          <w:ilvl w:val="0"/>
          <w:numId w:val="0"/>
        </w:numPr>
      </w:pPr>
      <w:r w:rsidRPr="0038754B">
        <w:t xml:space="preserve">Dr Burke does not provide evidence that </w:t>
      </w:r>
      <w:r w:rsidR="00A07449" w:rsidRPr="0038754B">
        <w:t xml:space="preserve">these </w:t>
      </w:r>
      <w:r w:rsidRPr="0038754B">
        <w:t xml:space="preserve">ERF projects are non-additional but says they are likely to </w:t>
      </w:r>
      <w:r w:rsidR="00246090" w:rsidRPr="0038754B">
        <w:t>happen</w:t>
      </w:r>
      <w:r w:rsidR="00246090" w:rsidRPr="0002132E">
        <w:t xml:space="preserve"> </w:t>
      </w:r>
      <w:r w:rsidRPr="0038754B">
        <w:t xml:space="preserve">anyway because they rely on a counterfactual that is difficult to prove one way or another or because the activities could provide an economic benefit in their own right. </w:t>
      </w:r>
    </w:p>
    <w:p w14:paraId="49279E23" w14:textId="77777777" w:rsidR="008D1F43" w:rsidRPr="0038754B" w:rsidRDefault="008D1F43" w:rsidP="008D1F43">
      <w:r w:rsidRPr="0038754B">
        <w:t xml:space="preserve">Decisions about whether or not a given method or project is additional will always be a matter of judgement. The Authority notes that some of the concerns raised about additionality in the ERF appear predicated more on in-principle objections to offsets schemes and the ERF’s purchasing of abatement than particular problems with the ERF’s approach to additionality. </w:t>
      </w:r>
    </w:p>
    <w:p w14:paraId="0FEA7976" w14:textId="77777777" w:rsidR="008D1F43" w:rsidRPr="0038754B" w:rsidRDefault="008D1F43" w:rsidP="008D1F43">
      <w:r w:rsidRPr="0038754B">
        <w:t xml:space="preserve">With the exception of the methods and projects discussed above, the Authority is not aware of evidence to suggest that the additionality tests in the ERF have broad systemic problems. </w:t>
      </w:r>
    </w:p>
    <w:p w14:paraId="3142680E" w14:textId="77777777" w:rsidR="008D1F43" w:rsidRPr="0038754B" w:rsidRDefault="008D1F43" w:rsidP="008D1F43">
      <w:r w:rsidRPr="0038754B">
        <w:t xml:space="preserve">On balance, and in the absence of evidence to the contrary, the Authority considers that the additionality tests in the ERF are generally fit for purpose and appear to be working reasonably well. </w:t>
      </w:r>
    </w:p>
    <w:p w14:paraId="5B9E9FCD" w14:textId="6401E6BF" w:rsidR="008D1F43" w:rsidRPr="0038754B" w:rsidRDefault="008D1F43" w:rsidP="008D1F43">
      <w:r w:rsidRPr="0038754B">
        <w:t>The Authority is also of the view that the ERAC</w:t>
      </w:r>
      <w:r w:rsidR="00F51ED6" w:rsidRPr="0038754B">
        <w:t>’s</w:t>
      </w:r>
      <w:r w:rsidRPr="0038754B">
        <w:t xml:space="preserve"> independent reviews of the methods are very important checks and balances to bolster the additionality of the methods. These are discussed further in </w:t>
      </w:r>
      <w:r w:rsidR="00786066" w:rsidRPr="001C1BDA">
        <w:rPr>
          <w:rStyle w:val="SectionChapterChar"/>
        </w:rPr>
        <w:fldChar w:fldCharType="begin"/>
      </w:r>
      <w:r w:rsidR="00786066" w:rsidRPr="0033387E">
        <w:rPr>
          <w:rStyle w:val="SectionChapterChar"/>
        </w:rPr>
        <w:instrText xml:space="preserve"> REF _Ref500246119 \w \h </w:instrText>
      </w:r>
      <w:r w:rsidR="00786066">
        <w:rPr>
          <w:rStyle w:val="SectionChapterChar"/>
        </w:rPr>
        <w:instrText xml:space="preserve"> \* MERGEFORMAT </w:instrText>
      </w:r>
      <w:r w:rsidR="00786066" w:rsidRPr="001C1BDA">
        <w:rPr>
          <w:rStyle w:val="SectionChapterChar"/>
        </w:rPr>
      </w:r>
      <w:r w:rsidR="00786066" w:rsidRPr="001C1BDA">
        <w:rPr>
          <w:rStyle w:val="SectionChapterChar"/>
        </w:rPr>
        <w:fldChar w:fldCharType="separate"/>
      </w:r>
      <w:r w:rsidR="00FA2002">
        <w:rPr>
          <w:rStyle w:val="SectionChapterChar"/>
        </w:rPr>
        <w:t>Chapter 3</w:t>
      </w:r>
      <w:r w:rsidR="00786066" w:rsidRPr="001C1BDA">
        <w:rPr>
          <w:rStyle w:val="SectionChapterChar"/>
        </w:rPr>
        <w:fldChar w:fldCharType="end"/>
      </w:r>
      <w:r w:rsidRPr="0038754B">
        <w:t xml:space="preserve">. </w:t>
      </w:r>
    </w:p>
    <w:p w14:paraId="6F655695" w14:textId="77777777" w:rsidR="00120927" w:rsidRPr="0038754B" w:rsidRDefault="003002AD" w:rsidP="00A143AC">
      <w:pPr>
        <w:pStyle w:val="Heading1"/>
        <w:numPr>
          <w:ilvl w:val="0"/>
          <w:numId w:val="44"/>
        </w:numPr>
      </w:pPr>
      <w:bookmarkStart w:id="625" w:name="_Toc497819473"/>
      <w:bookmarkStart w:id="626" w:name="_Toc498691540"/>
      <w:bookmarkStart w:id="627" w:name="_Toc499043721"/>
      <w:bookmarkStart w:id="628" w:name="_Toc499051746"/>
      <w:bookmarkStart w:id="629" w:name="_Ref500246725"/>
      <w:bookmarkStart w:id="630" w:name="_Ref500247219"/>
      <w:bookmarkStart w:id="631" w:name="_Ref500247521"/>
      <w:bookmarkStart w:id="632" w:name="_Ref500248232"/>
      <w:bookmarkStart w:id="633" w:name="_Ref500248671"/>
      <w:bookmarkStart w:id="634" w:name="_Toc500251096"/>
      <w:bookmarkStart w:id="635" w:name="_Toc500251371"/>
      <w:bookmarkStart w:id="636" w:name="_Toc500253968"/>
      <w:bookmarkStart w:id="637" w:name="_Toc500401475"/>
      <w:bookmarkStart w:id="638" w:name="_Toc500490960"/>
      <w:bookmarkStart w:id="639" w:name="_Toc500512902"/>
      <w:bookmarkStart w:id="640" w:name="_Toc500514157"/>
      <w:bookmarkStart w:id="641" w:name="_Toc500516214"/>
      <w:r w:rsidRPr="0038754B">
        <w:t>Permanence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1DB78D8A" w14:textId="37FE2BA4" w:rsidR="003002AD" w:rsidRPr="005206CA" w:rsidRDefault="003002AD" w:rsidP="003002AD">
      <w:r w:rsidRPr="0038754B">
        <w:t>Sequestration projects store carbon in soils and vegetation and represent around 73 per cent of contracted abatement under the E</w:t>
      </w:r>
      <w:r w:rsidR="00444E1F">
        <w:t xml:space="preserve">missions </w:t>
      </w:r>
      <w:r w:rsidRPr="0038754B">
        <w:t>R</w:t>
      </w:r>
      <w:r w:rsidR="00444E1F">
        <w:t xml:space="preserve">eduction </w:t>
      </w:r>
      <w:r w:rsidRPr="0038754B">
        <w:t>F</w:t>
      </w:r>
      <w:r w:rsidR="00444E1F">
        <w:t>und (ERF)</w:t>
      </w:r>
      <w:r w:rsidR="00C93374" w:rsidRPr="0038754B">
        <w:t xml:space="preserve"> (</w:t>
      </w:r>
      <w:r w:rsidR="00C93374" w:rsidRPr="00E55312">
        <w:rPr>
          <w:rStyle w:val="In-textChar"/>
        </w:rPr>
        <w:t xml:space="preserve">CER </w:t>
      </w:r>
      <w:r w:rsidR="00B4754E">
        <w:rPr>
          <w:rStyle w:val="In-textChar"/>
        </w:rPr>
        <w:t>2017k</w:t>
      </w:r>
      <w:r w:rsidR="00795F13">
        <w:rPr>
          <w:rStyle w:val="In-textChar"/>
        </w:rPr>
        <w:t>; CER 2017</w:t>
      </w:r>
      <w:r w:rsidR="00D92544">
        <w:rPr>
          <w:rStyle w:val="In-textChar"/>
        </w:rPr>
        <w:t>n</w:t>
      </w:r>
      <w:r w:rsidR="00C93374" w:rsidRPr="0038754B">
        <w:t>)</w:t>
      </w:r>
      <w:r w:rsidRPr="0038754B">
        <w:t>. These projects are subject to a permanence obligation, which aims to ensure the carbon stored by sequestration projects is not lost in the future (</w:t>
      </w:r>
      <w:r w:rsidRPr="00E55312">
        <w:rPr>
          <w:rStyle w:val="In-textChar"/>
        </w:rPr>
        <w:t>Australian Government 2014</w:t>
      </w:r>
      <w:r w:rsidRPr="0038754B">
        <w:t xml:space="preserve">). Emissions reduction projects do not have permanence requirements because they stop emissions from entering the atmosphere </w:t>
      </w:r>
      <w:r w:rsidRPr="005206CA">
        <w:t>in the first place.</w:t>
      </w:r>
    </w:p>
    <w:p w14:paraId="25BDA0E8" w14:textId="2CDD0EE4" w:rsidR="003002AD" w:rsidRPr="005206CA" w:rsidRDefault="003002AD" w:rsidP="003002AD">
      <w:r w:rsidRPr="005206CA">
        <w:t xml:space="preserve">The permanence obligation requires scheme participants to maintain the carbon stored by ERF projects over the long term. This means that if a fire or other disturbance causes a decline in the </w:t>
      </w:r>
      <w:r w:rsidR="00E7729F" w:rsidRPr="005206CA">
        <w:t>volume</w:t>
      </w:r>
      <w:r w:rsidRPr="005206CA">
        <w:t xml:space="preserve"> of carbon stored, landholders must take reasonable action to re</w:t>
      </w:r>
      <w:r w:rsidR="003801B5" w:rsidRPr="005206CA">
        <w:noBreakHyphen/>
      </w:r>
      <w:r w:rsidRPr="005206CA">
        <w:t xml:space="preserve">establish carbon stores. Scheme participants will </w:t>
      </w:r>
      <w:r w:rsidR="00724E24" w:rsidRPr="005206CA">
        <w:t xml:space="preserve">generally </w:t>
      </w:r>
      <w:r w:rsidRPr="005206CA">
        <w:t xml:space="preserve">not receive further </w:t>
      </w:r>
      <w:r w:rsidR="00906DA7" w:rsidRPr="005206CA">
        <w:t>A</w:t>
      </w:r>
      <w:r w:rsidR="00444E1F" w:rsidRPr="005206CA">
        <w:t xml:space="preserve">ustralian </w:t>
      </w:r>
      <w:r w:rsidR="00906DA7" w:rsidRPr="005206CA">
        <w:t>C</w:t>
      </w:r>
      <w:r w:rsidR="00444E1F" w:rsidRPr="005206CA">
        <w:t xml:space="preserve">arbon </w:t>
      </w:r>
      <w:r w:rsidR="00906DA7" w:rsidRPr="005206CA">
        <w:t>C</w:t>
      </w:r>
      <w:r w:rsidR="00444E1F" w:rsidRPr="005206CA">
        <w:t>red</w:t>
      </w:r>
      <w:r w:rsidR="00724E24" w:rsidRPr="005206CA">
        <w:t>i</w:t>
      </w:r>
      <w:r w:rsidR="00444E1F" w:rsidRPr="005206CA">
        <w:t xml:space="preserve">t </w:t>
      </w:r>
      <w:r w:rsidR="00906DA7" w:rsidRPr="005206CA">
        <w:t>U</w:t>
      </w:r>
      <w:r w:rsidR="00444E1F" w:rsidRPr="005206CA">
        <w:t>nit</w:t>
      </w:r>
      <w:r w:rsidR="00906DA7" w:rsidRPr="005206CA">
        <w:t>s</w:t>
      </w:r>
      <w:r w:rsidR="00444E1F" w:rsidRPr="005206CA">
        <w:t xml:space="preserve"> (ACCUs)</w:t>
      </w:r>
      <w:r w:rsidRPr="005206CA">
        <w:t xml:space="preserve"> until the carbon stores exceed their pre-disturbance levels. Alternatively, if </w:t>
      </w:r>
      <w:r w:rsidR="001213C9">
        <w:t>scheme</w:t>
      </w:r>
      <w:r w:rsidRPr="005206CA">
        <w:t xml:space="preserve"> participants do not want to restore the carbon, ACCUs equivalent to the loss of carbon caused by the disturbance must be provided to the C</w:t>
      </w:r>
      <w:r w:rsidR="00444E1F" w:rsidRPr="005206CA">
        <w:t xml:space="preserve">lean </w:t>
      </w:r>
      <w:r w:rsidRPr="005206CA">
        <w:t>E</w:t>
      </w:r>
      <w:r w:rsidR="00444E1F" w:rsidRPr="005206CA">
        <w:t xml:space="preserve">nergy </w:t>
      </w:r>
      <w:r w:rsidRPr="005206CA">
        <w:t>R</w:t>
      </w:r>
      <w:r w:rsidR="00444E1F" w:rsidRPr="005206CA">
        <w:t>egulator (CER)</w:t>
      </w:r>
      <w:r w:rsidRPr="005206CA">
        <w:t xml:space="preserve">. </w:t>
      </w:r>
    </w:p>
    <w:p w14:paraId="76D2997A" w14:textId="34AB3C4B" w:rsidR="003002AD" w:rsidRPr="005206CA" w:rsidRDefault="003002AD" w:rsidP="003002AD">
      <w:r w:rsidRPr="005206CA">
        <w:t xml:space="preserve">At project registration, </w:t>
      </w:r>
      <w:r w:rsidR="001213C9">
        <w:t>scheme</w:t>
      </w:r>
      <w:r w:rsidRPr="005206CA">
        <w:t xml:space="preserve"> participants nominate a permanence period of either 25 or 100 years for sequestration projects. Projects that nominate a 25 year permanence period are generally subject to a 20 per cent discount</w:t>
      </w:r>
      <w:r w:rsidRPr="005206CA">
        <w:rPr>
          <w:rStyle w:val="FootnoteReference"/>
        </w:rPr>
        <w:footnoteReference w:id="6"/>
      </w:r>
      <w:r w:rsidRPr="005206CA">
        <w:t xml:space="preserve"> on the number of ACCUs issued by the CER (</w:t>
      </w:r>
      <w:r w:rsidRPr="00AC7279">
        <w:rPr>
          <w:rStyle w:val="SectionChapterChar"/>
        </w:rPr>
        <w:t xml:space="preserve">Section </w:t>
      </w:r>
      <w:r w:rsidR="00E82831" w:rsidRPr="005206CA">
        <w:rPr>
          <w:rStyle w:val="SectionChapterChar"/>
        </w:rPr>
        <w:fldChar w:fldCharType="begin"/>
      </w:r>
      <w:r w:rsidR="00E82831" w:rsidRPr="005206CA">
        <w:rPr>
          <w:rStyle w:val="SectionChapterChar"/>
        </w:rPr>
        <w:instrText xml:space="preserve"> REF _Ref500246191 \w \h </w:instrText>
      </w:r>
      <w:r w:rsid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5.9</w:t>
      </w:r>
      <w:r w:rsidR="00E82831" w:rsidRPr="005206CA">
        <w:rPr>
          <w:rStyle w:val="SectionChapterChar"/>
        </w:rPr>
        <w:fldChar w:fldCharType="end"/>
      </w:r>
      <w:r w:rsidRPr="005206CA">
        <w:t>). In their</w:t>
      </w:r>
      <w:r w:rsidR="00C13CD8" w:rsidRPr="005206CA">
        <w:t xml:space="preserve"> </w:t>
      </w:r>
      <w:r w:rsidRPr="005206CA">
        <w:t>submissions</w:t>
      </w:r>
      <w:r w:rsidR="00EA182E" w:rsidRPr="005206CA">
        <w:t xml:space="preserve"> on this review</w:t>
      </w:r>
      <w:r w:rsidRPr="005206CA">
        <w:t>, Country Carbon stated that ‘many landholders have found the 25-year permanence period option an attractive one’</w:t>
      </w:r>
      <w:r w:rsidR="002874CD" w:rsidRPr="005206CA">
        <w:t xml:space="preserve"> (p. 2)</w:t>
      </w:r>
      <w:r w:rsidRPr="005206CA">
        <w:t>, whereas GreenCollar said that ‘</w:t>
      </w:r>
      <w:r w:rsidR="00C93374" w:rsidRPr="005206CA">
        <w:t>[m]</w:t>
      </w:r>
      <w:r w:rsidRPr="005206CA">
        <w:t>ost of the projects within our portfolio are selected as 100-year permanence projects</w:t>
      </w:r>
      <w:r w:rsidR="009E19B9" w:rsidRPr="005206CA">
        <w:t>’</w:t>
      </w:r>
      <w:r w:rsidR="002874CD" w:rsidRPr="005206CA">
        <w:t xml:space="preserve"> (p. 6)</w:t>
      </w:r>
      <w:r w:rsidRPr="005206CA">
        <w:t>. Over 60 per</w:t>
      </w:r>
      <w:r w:rsidR="003801B5" w:rsidRPr="005206CA">
        <w:t xml:space="preserve"> </w:t>
      </w:r>
      <w:r w:rsidRPr="005206CA">
        <w:t>cent of contracted sequestration projects have nominated the 100 year permanence period</w:t>
      </w:r>
      <w:r w:rsidR="001D4B10" w:rsidRPr="005206CA">
        <w:t xml:space="preserve">. </w:t>
      </w:r>
    </w:p>
    <w:p w14:paraId="0856DC2D" w14:textId="77777777" w:rsidR="003002AD" w:rsidRPr="005206CA" w:rsidRDefault="003002AD">
      <w:pPr>
        <w:pStyle w:val="Heading2"/>
      </w:pPr>
      <w:bookmarkStart w:id="642" w:name="_Toc494905124"/>
      <w:bookmarkStart w:id="643" w:name="_Toc497819474"/>
      <w:bookmarkStart w:id="644" w:name="_Toc498691541"/>
      <w:bookmarkStart w:id="645" w:name="_Toc499043722"/>
      <w:bookmarkStart w:id="646" w:name="_Toc499051747"/>
      <w:bookmarkStart w:id="647" w:name="_Toc500251097"/>
      <w:bookmarkStart w:id="648" w:name="_Toc500251372"/>
      <w:bookmarkStart w:id="649" w:name="_Toc500253969"/>
      <w:bookmarkStart w:id="650" w:name="_Toc500401476"/>
      <w:bookmarkStart w:id="651" w:name="_Toc500490961"/>
      <w:bookmarkStart w:id="652" w:name="_Toc500512903"/>
      <w:bookmarkStart w:id="653" w:name="_Toc500514158"/>
      <w:bookmarkStart w:id="654" w:name="_Toc500516215"/>
      <w:r w:rsidRPr="005206CA">
        <w:t>The risk of a reversal in carbon stores</w:t>
      </w:r>
      <w:bookmarkEnd w:id="642"/>
      <w:bookmarkEnd w:id="643"/>
      <w:bookmarkEnd w:id="644"/>
      <w:bookmarkEnd w:id="645"/>
      <w:bookmarkEnd w:id="646"/>
      <w:bookmarkEnd w:id="647"/>
      <w:bookmarkEnd w:id="648"/>
      <w:bookmarkEnd w:id="649"/>
      <w:bookmarkEnd w:id="650"/>
      <w:bookmarkEnd w:id="651"/>
      <w:bookmarkEnd w:id="652"/>
      <w:bookmarkEnd w:id="653"/>
      <w:bookmarkEnd w:id="654"/>
    </w:p>
    <w:p w14:paraId="074971C2" w14:textId="77777777" w:rsidR="003002AD" w:rsidRPr="005206CA" w:rsidRDefault="003002AD" w:rsidP="003002AD">
      <w:r w:rsidRPr="005206CA">
        <w:t>Natural events or human-induced actions can reverse carbon stores. The factors that affect the risk of a reversal in carbon stores are outlined below. The risk will vary across methods and over time and can be difficult to predict.</w:t>
      </w:r>
    </w:p>
    <w:p w14:paraId="279DD6ED" w14:textId="2C07A7FA" w:rsidR="003002AD" w:rsidRPr="005206CA" w:rsidRDefault="003002AD" w:rsidP="003002AD">
      <w:r w:rsidRPr="005206CA">
        <w:t>Natural events include flood, bushfire, drought, pest</w:t>
      </w:r>
      <w:r w:rsidR="003D7D3E">
        <w:t>s</w:t>
      </w:r>
      <w:r w:rsidRPr="005206CA">
        <w:t xml:space="preserve">, disease and other natural disturbances such as cyclones. The risk of a natural event reversing carbon stores is affected by Australia’s changing climate. </w:t>
      </w:r>
    </w:p>
    <w:p w14:paraId="6D4B0575" w14:textId="3CC3F3CB" w:rsidR="003002AD" w:rsidRPr="005206CA" w:rsidRDefault="003002AD" w:rsidP="003002AD">
      <w:r w:rsidRPr="005206CA">
        <w:t xml:space="preserve">Clearing the land with a sequestration project is a human-induced action, which reverses carbon stores. Scheme participants face a trade-off between using the land for a sequestration project and alternative uses such as grazing or cropping. Changes in agricultural commodity prices and land values affect the </w:t>
      </w:r>
      <w:r w:rsidR="00B72252">
        <w:t>likelihood</w:t>
      </w:r>
      <w:r w:rsidR="00B72252" w:rsidRPr="005206CA">
        <w:t xml:space="preserve"> </w:t>
      </w:r>
      <w:r w:rsidRPr="005206CA">
        <w:t>of human-induced action to reverse carbon stores. For example, an increase in cattle or timber prices may increase the economic incentive to clear land with a carbon storage project to either run cattle or sell the harvested timber products.</w:t>
      </w:r>
    </w:p>
    <w:p w14:paraId="721D3EA8" w14:textId="209B489D" w:rsidR="003002AD" w:rsidRPr="005206CA" w:rsidRDefault="003002AD" w:rsidP="003002AD">
      <w:r w:rsidRPr="005206CA">
        <w:t>During the crediting period</w:t>
      </w:r>
      <w:r w:rsidR="000E6CCB">
        <w:t>,</w:t>
      </w:r>
      <w:r w:rsidR="00246090" w:rsidRPr="005206CA">
        <w:rPr>
          <w:rStyle w:val="FootnoteReference"/>
        </w:rPr>
        <w:footnoteReference w:id="7"/>
      </w:r>
      <w:r w:rsidRPr="005206CA">
        <w:t xml:space="preserve"> if the carbon store is growing, </w:t>
      </w:r>
      <w:r w:rsidR="001213C9">
        <w:t>scheme</w:t>
      </w:r>
      <w:r w:rsidR="001213C9" w:rsidRPr="005206CA">
        <w:t xml:space="preserve"> </w:t>
      </w:r>
      <w:r w:rsidRPr="005206CA">
        <w:t xml:space="preserve">participants could receive a financial incentive through generating and selling ACCUs to maintain carbon stores. Once the crediting period ends, the CER’s non-compliance penalties may be needed to deter </w:t>
      </w:r>
      <w:r w:rsidR="001213C9">
        <w:t>scheme</w:t>
      </w:r>
      <w:r w:rsidR="001213C9" w:rsidRPr="005206CA">
        <w:t xml:space="preserve"> </w:t>
      </w:r>
      <w:r w:rsidRPr="005206CA">
        <w:t xml:space="preserve">participants from removing vegetation or other forms of stored carbon. </w:t>
      </w:r>
    </w:p>
    <w:p w14:paraId="66F99543" w14:textId="34C48798" w:rsidR="003002AD" w:rsidRPr="005206CA" w:rsidRDefault="003002AD" w:rsidP="003002AD">
      <w:r w:rsidRPr="005206CA">
        <w:t>The ongoing costs associated with an ERF project may pose a financial disincentive to maintain carbon stores. This can be exacerbated by tax arrangements. The costs incurred in running an ERF project are treated differently for income tax purposes during the permanence period compared with the crediting period. During the crediting period, the non-capital costs incurred in running an ERF project such as the costs of pest and weed control, fence maintenance and activities to reduce the risk of fire can be claimed as an income tax deduction. However, these costs cannot be claimed as a deduction once the project stops generating income from ACCUs</w:t>
      </w:r>
      <w:r w:rsidR="0011790A" w:rsidRPr="005206CA">
        <w:t xml:space="preserve"> (</w:t>
      </w:r>
      <w:r w:rsidR="0011790A" w:rsidRPr="005206CA">
        <w:rPr>
          <w:i/>
        </w:rPr>
        <w:t>Income Tax Assessment Act 1997</w:t>
      </w:r>
      <w:r w:rsidR="0011790A" w:rsidRPr="005206CA">
        <w:t xml:space="preserve"> (</w:t>
      </w:r>
      <w:r w:rsidR="0011790A" w:rsidRPr="00AC7279">
        <w:rPr>
          <w:rStyle w:val="In-textChar"/>
        </w:rPr>
        <w:t>Cth</w:t>
      </w:r>
      <w:r w:rsidR="0011790A" w:rsidRPr="005206CA">
        <w:t>))</w:t>
      </w:r>
      <w:r w:rsidRPr="005206CA">
        <w:t xml:space="preserve">. </w:t>
      </w:r>
    </w:p>
    <w:p w14:paraId="0FE00A47" w14:textId="4F889B49" w:rsidR="003002AD" w:rsidRPr="005206CA" w:rsidRDefault="003002AD" w:rsidP="003002AD">
      <w:r w:rsidRPr="005206CA">
        <w:t xml:space="preserve">On the other hand, the environmental, biodiversity, cultural and social benefits associated with the ERF project are another incentive to maintain carbon stores. If these benefits provide direct or indirect value to the </w:t>
      </w:r>
      <w:r w:rsidR="00C93374" w:rsidRPr="005206CA">
        <w:t>scheme participant</w:t>
      </w:r>
      <w:r w:rsidRPr="005206CA">
        <w:t xml:space="preserve"> then a permanent loss of carbon may be less likely to occur. For example, reforestation projects may generate co-benefits such as the restoration of native vegetation, enhanced biodiversity and ecosystem connectivity, habitat for threatened flora and fauna, the conservation of riparian zones, reduce</w:t>
      </w:r>
      <w:r w:rsidR="002173E0">
        <w:t>d</w:t>
      </w:r>
      <w:r w:rsidRPr="005206CA">
        <w:t xml:space="preserve"> erosion and salinity and improve</w:t>
      </w:r>
      <w:r w:rsidR="002173E0">
        <w:t>d</w:t>
      </w:r>
      <w:r w:rsidRPr="005206CA">
        <w:t xml:space="preserve"> soil and water health (</w:t>
      </w:r>
      <w:r w:rsidRPr="005206CA">
        <w:rPr>
          <w:rStyle w:val="In-textChar"/>
        </w:rPr>
        <w:t>CMI n.d.</w:t>
      </w:r>
      <w:r w:rsidRPr="005206CA">
        <w:t xml:space="preserve">). </w:t>
      </w:r>
    </w:p>
    <w:p w14:paraId="20F6FE97" w14:textId="77777777" w:rsidR="003002AD" w:rsidRPr="005206CA" w:rsidRDefault="003002AD">
      <w:pPr>
        <w:pStyle w:val="Heading2"/>
      </w:pPr>
      <w:bookmarkStart w:id="655" w:name="_Toc497819475"/>
      <w:bookmarkStart w:id="656" w:name="_Toc498691542"/>
      <w:bookmarkStart w:id="657" w:name="_Toc499043723"/>
      <w:bookmarkStart w:id="658" w:name="_Toc499051748"/>
      <w:bookmarkStart w:id="659" w:name="_Toc500251098"/>
      <w:bookmarkStart w:id="660" w:name="_Toc500251373"/>
      <w:bookmarkStart w:id="661" w:name="_Toc500253970"/>
      <w:bookmarkStart w:id="662" w:name="_Toc500401477"/>
      <w:bookmarkStart w:id="663" w:name="_Toc500490962"/>
      <w:bookmarkStart w:id="664" w:name="_Toc500512904"/>
      <w:bookmarkStart w:id="665" w:name="_Toc500514159"/>
      <w:bookmarkStart w:id="666" w:name="_Toc500516216"/>
      <w:r w:rsidRPr="005206CA">
        <w:t>The importance of permanence</w:t>
      </w:r>
      <w:bookmarkEnd w:id="655"/>
      <w:bookmarkEnd w:id="656"/>
      <w:bookmarkEnd w:id="657"/>
      <w:bookmarkEnd w:id="658"/>
      <w:bookmarkEnd w:id="659"/>
      <w:bookmarkEnd w:id="660"/>
      <w:bookmarkEnd w:id="661"/>
      <w:bookmarkEnd w:id="662"/>
      <w:bookmarkEnd w:id="663"/>
      <w:bookmarkEnd w:id="664"/>
      <w:bookmarkEnd w:id="665"/>
      <w:bookmarkEnd w:id="666"/>
    </w:p>
    <w:p w14:paraId="3E91B48E" w14:textId="44E49C4E" w:rsidR="003002AD" w:rsidRPr="005206CA" w:rsidRDefault="003002AD" w:rsidP="003002AD">
      <w:r w:rsidRPr="005206CA">
        <w:t xml:space="preserve">If carbon is lost and the ACCUs are not replaced, the Government may need to find alternative sources of abatement to reach its international targets. If this occurs, the ERF may fail to deliver value for tax payers’ money, particularly if the Government needs to purchase abatement from elsewhere (for example by purchasing international units). </w:t>
      </w:r>
      <w:r w:rsidR="00246090" w:rsidRPr="005206CA">
        <w:t>Under</w:t>
      </w:r>
      <w:r w:rsidRPr="005206CA">
        <w:t xml:space="preserve"> this scenario, tax payers could, in effect, pay twice for the same abatement. </w:t>
      </w:r>
    </w:p>
    <w:p w14:paraId="76C89349" w14:textId="77777777" w:rsidR="003002AD" w:rsidRPr="005206CA" w:rsidRDefault="003002AD" w:rsidP="003002AD">
      <w:r w:rsidRPr="005206CA">
        <w:t xml:space="preserve">The CER’s enforcement powers need to be effective to mitigate these risks to the scheme and reduce the need for the Government to purchase additional carbon units or to tighten emissions reduction policies in other sectors of the economy. </w:t>
      </w:r>
    </w:p>
    <w:p w14:paraId="07C74059" w14:textId="77777777" w:rsidR="003002AD" w:rsidRPr="005206CA" w:rsidRDefault="00EC0EAE">
      <w:pPr>
        <w:pStyle w:val="Heading2"/>
      </w:pPr>
      <w:bookmarkStart w:id="667" w:name="_Toc494905126"/>
      <w:bookmarkStart w:id="668" w:name="_Toc497819476"/>
      <w:bookmarkStart w:id="669" w:name="_Toc498691543"/>
      <w:bookmarkStart w:id="670" w:name="_Toc499043724"/>
      <w:bookmarkStart w:id="671" w:name="_Toc499051749"/>
      <w:bookmarkStart w:id="672" w:name="_Toc500251099"/>
      <w:bookmarkStart w:id="673" w:name="_Toc500251374"/>
      <w:bookmarkStart w:id="674" w:name="_Toc500253971"/>
      <w:bookmarkStart w:id="675" w:name="_Toc500401478"/>
      <w:bookmarkStart w:id="676" w:name="_Toc500490963"/>
      <w:bookmarkStart w:id="677" w:name="_Toc500512905"/>
      <w:bookmarkStart w:id="678" w:name="_Toc500514160"/>
      <w:bookmarkStart w:id="679" w:name="_Toc500516217"/>
      <w:r w:rsidRPr="005206CA">
        <w:t>Scheme participants</w:t>
      </w:r>
      <w:r w:rsidR="003002AD" w:rsidRPr="005206CA">
        <w:t xml:space="preserve"> and information provision around the compliance obligation</w:t>
      </w:r>
      <w:bookmarkEnd w:id="667"/>
      <w:bookmarkEnd w:id="668"/>
      <w:bookmarkEnd w:id="669"/>
      <w:bookmarkEnd w:id="670"/>
      <w:bookmarkEnd w:id="671"/>
      <w:bookmarkEnd w:id="672"/>
      <w:bookmarkEnd w:id="673"/>
      <w:bookmarkEnd w:id="674"/>
      <w:bookmarkEnd w:id="675"/>
      <w:bookmarkEnd w:id="676"/>
      <w:bookmarkEnd w:id="677"/>
      <w:bookmarkEnd w:id="678"/>
      <w:bookmarkEnd w:id="679"/>
    </w:p>
    <w:p w14:paraId="01FC4E4F" w14:textId="48026927" w:rsidR="003002AD" w:rsidRPr="005206CA" w:rsidRDefault="003002AD" w:rsidP="003002AD">
      <w:r w:rsidRPr="005206CA">
        <w:t xml:space="preserve">To reduce the risk of carbon stores being lost, it is important that scheme participants understand the permanence obligation as well as the penalties for non-compliance at the time a project is registered. The need to maintain carbon stores into the future (and associated costs) should also be clearly understood by the scheme participant and included in any decision to undertake an ERF project. Information about the requirements of the permanence obligation is provided to prospective </w:t>
      </w:r>
      <w:r w:rsidR="001213C9">
        <w:t xml:space="preserve">scheme </w:t>
      </w:r>
      <w:r w:rsidRPr="005206CA">
        <w:t xml:space="preserve">participants through content on the CER and </w:t>
      </w:r>
      <w:r w:rsidR="00F37384" w:rsidRPr="005206CA">
        <w:t>the Department</w:t>
      </w:r>
      <w:r w:rsidR="00CF0DC0" w:rsidRPr="005206CA">
        <w:t xml:space="preserve"> of </w:t>
      </w:r>
      <w:r w:rsidR="00947CE4" w:rsidRPr="005206CA">
        <w:t xml:space="preserve">the </w:t>
      </w:r>
      <w:r w:rsidR="00CF0DC0" w:rsidRPr="005206CA">
        <w:t>Environment and Energy</w:t>
      </w:r>
      <w:r w:rsidR="00994ED8" w:rsidRPr="005206CA">
        <w:t xml:space="preserve"> </w:t>
      </w:r>
      <w:r w:rsidRPr="005206CA">
        <w:t>we</w:t>
      </w:r>
      <w:r w:rsidR="006D79FA" w:rsidRPr="005206CA">
        <w:t>bsites such as ‘</w:t>
      </w:r>
      <w:r w:rsidRPr="005206CA">
        <w:rPr>
          <w:i/>
        </w:rPr>
        <w:t>Make sure your timing is right - A guide to crediting, reporting, delivery and permanence periods</w:t>
      </w:r>
      <w:r w:rsidRPr="005206CA">
        <w:t>’ (</w:t>
      </w:r>
      <w:r w:rsidRPr="005206CA">
        <w:rPr>
          <w:rStyle w:val="In-textChar"/>
        </w:rPr>
        <w:t>C</w:t>
      </w:r>
      <w:r w:rsidR="006D79FA" w:rsidRPr="005206CA">
        <w:rPr>
          <w:rStyle w:val="In-textChar"/>
        </w:rPr>
        <w:t>ER 2016</w:t>
      </w:r>
      <w:r w:rsidR="00810B20" w:rsidRPr="005206CA">
        <w:rPr>
          <w:rStyle w:val="In-textChar"/>
        </w:rPr>
        <w:t>d</w:t>
      </w:r>
      <w:r w:rsidR="006D79FA" w:rsidRPr="005206CA">
        <w:t>) and method factsheets</w:t>
      </w:r>
      <w:r w:rsidRPr="005206CA">
        <w:t xml:space="preserve">. </w:t>
      </w:r>
    </w:p>
    <w:p w14:paraId="4754D41D" w14:textId="46BA1B88" w:rsidR="003002AD" w:rsidRPr="005206CA" w:rsidRDefault="003002AD" w:rsidP="003002AD">
      <w:r w:rsidRPr="005206CA">
        <w:t>Carbon service providers</w:t>
      </w:r>
      <w:r w:rsidR="00CF0DC0" w:rsidRPr="005206CA">
        <w:t xml:space="preserve"> (CSP</w:t>
      </w:r>
      <w:r w:rsidR="00947CE4" w:rsidRPr="005206CA">
        <w:t>s</w:t>
      </w:r>
      <w:r w:rsidR="00CF0DC0" w:rsidRPr="005206CA">
        <w:t>)</w:t>
      </w:r>
      <w:r w:rsidRPr="005206CA">
        <w:t xml:space="preserve"> may also provide information to scheme participants. The draft carbon industry code of conduct contains information provision requirements about permanence for participating </w:t>
      </w:r>
      <w:r w:rsidR="00CF0DC0" w:rsidRPr="005206CA">
        <w:t>CSPs</w:t>
      </w:r>
      <w:r w:rsidR="00C93374" w:rsidRPr="005206CA">
        <w:t xml:space="preserve"> (</w:t>
      </w:r>
      <w:r w:rsidR="00C93374" w:rsidRPr="00AC7279">
        <w:rPr>
          <w:rStyle w:val="SectionChapterChar"/>
        </w:rPr>
        <w:t xml:space="preserve">Section </w:t>
      </w:r>
      <w:r w:rsidR="00E82831" w:rsidRPr="005206CA">
        <w:rPr>
          <w:rStyle w:val="SectionChapterChar"/>
        </w:rPr>
        <w:fldChar w:fldCharType="begin"/>
      </w:r>
      <w:r w:rsidR="00E82831" w:rsidRPr="005206CA">
        <w:rPr>
          <w:rStyle w:val="SectionChapterChar"/>
        </w:rPr>
        <w:instrText xml:space="preserve"> REF _Ref500246544 \r \h </w:instrText>
      </w:r>
      <w:r w:rsid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6.3</w:t>
      </w:r>
      <w:r w:rsidR="00E82831" w:rsidRPr="005206CA">
        <w:rPr>
          <w:rStyle w:val="SectionChapterChar"/>
        </w:rPr>
        <w:fldChar w:fldCharType="end"/>
      </w:r>
      <w:r w:rsidR="00C93374" w:rsidRPr="005206CA">
        <w:t>)</w:t>
      </w:r>
      <w:r w:rsidRPr="005206CA">
        <w:t xml:space="preserve">. </w:t>
      </w:r>
    </w:p>
    <w:p w14:paraId="1C5A24D9" w14:textId="6CBF1ABA" w:rsidR="003002AD" w:rsidRPr="005206CA" w:rsidRDefault="003002AD" w:rsidP="003002AD">
      <w:r w:rsidRPr="005206CA">
        <w:t xml:space="preserve">Prospective </w:t>
      </w:r>
      <w:r w:rsidR="001213C9">
        <w:t>scheme</w:t>
      </w:r>
      <w:r w:rsidRPr="005206CA">
        <w:t xml:space="preserve"> participants are currently required to nominate the permanence period for a sequestration project at the project’s registration but are not required to outline how they will maintain carbon stores. </w:t>
      </w:r>
      <w:r w:rsidR="00F83B10" w:rsidRPr="005206CA">
        <w:t>The Department is consulting on draft legislative rules that would apply to all sequestration projects to require that scheme</w:t>
      </w:r>
      <w:r w:rsidR="001C2A96" w:rsidRPr="005206CA">
        <w:t xml:space="preserve"> </w:t>
      </w:r>
      <w:r w:rsidRPr="005206CA">
        <w:t xml:space="preserve">participants outline </w:t>
      </w:r>
      <w:r w:rsidR="00F83B10" w:rsidRPr="005206CA">
        <w:t xml:space="preserve">a </w:t>
      </w:r>
      <w:r w:rsidRPr="005206CA">
        <w:t xml:space="preserve">plan for maintaining carbon stores and to provide this information to the CER. </w:t>
      </w:r>
      <w:r w:rsidR="00F83B10" w:rsidRPr="005206CA">
        <w:t>If made, these rules</w:t>
      </w:r>
      <w:r w:rsidRPr="005206CA">
        <w:t xml:space="preserve"> </w:t>
      </w:r>
      <w:r w:rsidR="00F83B10" w:rsidRPr="005206CA">
        <w:t xml:space="preserve">could help </w:t>
      </w:r>
      <w:r w:rsidR="001213C9">
        <w:t>scheme</w:t>
      </w:r>
      <w:r w:rsidR="00F83B10" w:rsidRPr="005206CA">
        <w:t xml:space="preserve"> </w:t>
      </w:r>
      <w:r w:rsidRPr="005206CA">
        <w:t xml:space="preserve">participants understand the requirements of the permanence obligation and </w:t>
      </w:r>
      <w:r w:rsidR="00F83B10" w:rsidRPr="005206CA">
        <w:t>assist with compliance.</w:t>
      </w:r>
      <w:r w:rsidRPr="005206CA">
        <w:t xml:space="preserve"> The Authority </w:t>
      </w:r>
      <w:r w:rsidR="00F83B10" w:rsidRPr="005206CA">
        <w:t xml:space="preserve">supports this approach. </w:t>
      </w:r>
    </w:p>
    <w:p w14:paraId="494447D0" w14:textId="77777777" w:rsidR="003002AD" w:rsidRPr="005206CA" w:rsidRDefault="003002AD" w:rsidP="003002AD">
      <w:r w:rsidRPr="005206CA">
        <w:t xml:space="preserve">ERF vegetation projects could also lead to an increased fire risk if they are not managed well. The CER </w:t>
      </w:r>
      <w:r w:rsidR="00CE5C01" w:rsidRPr="005206CA">
        <w:t xml:space="preserve">has </w:t>
      </w:r>
      <w:r w:rsidRPr="005206CA">
        <w:t>inform</w:t>
      </w:r>
      <w:r w:rsidR="00CE5C01" w:rsidRPr="005206CA">
        <w:t>ed some</w:t>
      </w:r>
      <w:r w:rsidRPr="005206CA">
        <w:t xml:space="preserve"> local fire authorities of the location of ERF vegetation projects so that they can manage the fire risk</w:t>
      </w:r>
      <w:r w:rsidR="00DE2AD1" w:rsidRPr="005206CA">
        <w:t>.</w:t>
      </w:r>
      <w:r w:rsidRPr="005206CA">
        <w:t xml:space="preserve"> In addition to these efforts, the Authority is of the view that the CER should require scheme participants to provide them with fire management plans for sequestration </w:t>
      </w:r>
      <w:r w:rsidR="001E4AA1" w:rsidRPr="005206CA">
        <w:t xml:space="preserve">and savanna fire </w:t>
      </w:r>
      <w:r w:rsidRPr="005206CA">
        <w:t xml:space="preserve">projects for information only. The CER would not assess or accredit the fire plans. The development of the fire plans would encourage scheme participants to plan and manage projects to reduce fire risk. These plans could be the same as those required to meet state or local fire management requirements. </w:t>
      </w:r>
    </w:p>
    <w:tbl>
      <w:tblPr>
        <w:tblStyle w:val="TableGrid"/>
        <w:tblW w:w="0" w:type="auto"/>
        <w:shd w:val="clear" w:color="auto" w:fill="E6ECF2"/>
        <w:tblLook w:val="04A0" w:firstRow="1" w:lastRow="0" w:firstColumn="1" w:lastColumn="0" w:noHBand="0" w:noVBand="1"/>
      </w:tblPr>
      <w:tblGrid>
        <w:gridCol w:w="9202"/>
      </w:tblGrid>
      <w:tr w:rsidR="003002AD" w:rsidRPr="005206CA" w14:paraId="7777EA0D" w14:textId="77777777" w:rsidTr="00C327F1">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5B83CC21" w14:textId="77777777" w:rsidR="003002AD" w:rsidRPr="005206CA" w:rsidRDefault="003002AD" w:rsidP="00C327F1">
            <w:pPr>
              <w:rPr>
                <w:b/>
                <w:color w:val="159DCE"/>
                <w:sz w:val="18"/>
                <w:szCs w:val="18"/>
              </w:rPr>
            </w:pPr>
            <w:r w:rsidRPr="005206CA">
              <w:rPr>
                <w:b/>
                <w:color w:val="159DCE"/>
                <w:sz w:val="18"/>
                <w:szCs w:val="18"/>
              </w:rPr>
              <w:t>RECOMMENDATION</w:t>
            </w:r>
          </w:p>
          <w:p w14:paraId="1652AAA9" w14:textId="66E81B6F" w:rsidR="00560182" w:rsidRPr="005206CA" w:rsidDel="00724E24" w:rsidRDefault="00560182" w:rsidP="00560182">
            <w:pPr>
              <w:spacing w:after="140" w:line="320" w:lineRule="exact"/>
              <w:ind w:left="851" w:hanging="851"/>
              <w:rPr>
                <w:sz w:val="18"/>
                <w:szCs w:val="18"/>
              </w:rPr>
            </w:pPr>
            <w:bookmarkStart w:id="680" w:name="_Ref499897329"/>
            <w:bookmarkStart w:id="681" w:name="_Toc499898696"/>
            <w:bookmarkStart w:id="682" w:name="_Toc499899336"/>
            <w:bookmarkStart w:id="683" w:name="_Ref497827623"/>
            <w:bookmarkStart w:id="684" w:name="_Toc497827433"/>
            <w:bookmarkStart w:id="685" w:name="_Toc497834069"/>
            <w:bookmarkStart w:id="686" w:name="_Toc498534518"/>
            <w:bookmarkStart w:id="687" w:name="_Toc498614713"/>
            <w:bookmarkStart w:id="688" w:name="_Toc498691468"/>
            <w:bookmarkStart w:id="689" w:name="_Toc499051667"/>
            <w:bookmarkStart w:id="690" w:name="_Toc499202052"/>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6</w:t>
            </w:r>
            <w:r w:rsidRPr="005206CA">
              <w:rPr>
                <w:rFonts w:cs="Arial"/>
                <w:sz w:val="18"/>
              </w:rPr>
              <w:fldChar w:fldCharType="end"/>
            </w:r>
            <w:bookmarkEnd w:id="680"/>
            <w:r w:rsidRPr="005206CA">
              <w:rPr>
                <w:rFonts w:cs="Arial"/>
                <w:sz w:val="18"/>
              </w:rPr>
              <w:t xml:space="preserve">. </w:t>
            </w:r>
            <w:r w:rsidRPr="005206CA">
              <w:rPr>
                <w:rFonts w:cs="Arial"/>
                <w:sz w:val="18"/>
              </w:rPr>
              <w:tab/>
            </w:r>
            <w:bookmarkStart w:id="691" w:name="_Ref500236699"/>
            <w:r w:rsidRPr="005206CA">
              <w:rPr>
                <w:sz w:val="18"/>
                <w:szCs w:val="18"/>
              </w:rPr>
              <w:t xml:space="preserve">The Minister make </w:t>
            </w:r>
            <w:r w:rsidR="00A95AE3">
              <w:rPr>
                <w:sz w:val="18"/>
                <w:szCs w:val="18"/>
              </w:rPr>
              <w:t xml:space="preserve">a </w:t>
            </w:r>
            <w:r w:rsidRPr="005206CA">
              <w:rPr>
                <w:sz w:val="18"/>
                <w:szCs w:val="18"/>
              </w:rPr>
              <w:t xml:space="preserve">legislative rule requiring scheme participants to provide the </w:t>
            </w:r>
            <w:r w:rsidR="006F1B4C">
              <w:rPr>
                <w:sz w:val="18"/>
                <w:szCs w:val="18"/>
              </w:rPr>
              <w:t>Clean Energy Regulator</w:t>
            </w:r>
            <w:r w:rsidRPr="005206CA">
              <w:rPr>
                <w:sz w:val="18"/>
                <w:szCs w:val="18"/>
              </w:rPr>
              <w:t xml:space="preserve"> with</w:t>
            </w:r>
            <w:r w:rsidRPr="005206CA" w:rsidDel="00724E24">
              <w:rPr>
                <w:sz w:val="18"/>
                <w:szCs w:val="18"/>
              </w:rPr>
              <w:t xml:space="preserve"> a plan for maintaining carbon stores during the permanence period when registering sequestration projects.</w:t>
            </w:r>
            <w:bookmarkEnd w:id="681"/>
            <w:bookmarkEnd w:id="682"/>
            <w:bookmarkEnd w:id="691"/>
          </w:p>
          <w:p w14:paraId="735AA4F9" w14:textId="71715341" w:rsidR="003002AD" w:rsidRPr="005206CA" w:rsidRDefault="003002AD" w:rsidP="000B01D8">
            <w:pPr>
              <w:spacing w:after="140" w:line="320" w:lineRule="exact"/>
              <w:ind w:left="851" w:hanging="851"/>
              <w:rPr>
                <w:sz w:val="18"/>
                <w:szCs w:val="18"/>
              </w:rPr>
            </w:pPr>
            <w:bookmarkStart w:id="692" w:name="_Ref497827629"/>
            <w:bookmarkStart w:id="693" w:name="_Toc497827434"/>
            <w:bookmarkStart w:id="694" w:name="_Toc497834070"/>
            <w:bookmarkStart w:id="695" w:name="_Toc498534519"/>
            <w:bookmarkStart w:id="696" w:name="_Toc498614714"/>
            <w:bookmarkStart w:id="697" w:name="_Toc498691469"/>
            <w:bookmarkStart w:id="698" w:name="_Toc499051668"/>
            <w:bookmarkStart w:id="699" w:name="_Toc499202053"/>
            <w:bookmarkStart w:id="700" w:name="_Toc499892336"/>
            <w:bookmarkStart w:id="701" w:name="_Toc499898697"/>
            <w:bookmarkStart w:id="702" w:name="_Toc499899337"/>
            <w:bookmarkEnd w:id="683"/>
            <w:bookmarkEnd w:id="684"/>
            <w:bookmarkEnd w:id="685"/>
            <w:bookmarkEnd w:id="686"/>
            <w:bookmarkEnd w:id="687"/>
            <w:bookmarkEnd w:id="688"/>
            <w:bookmarkEnd w:id="689"/>
            <w:bookmarkEnd w:id="690"/>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7</w:t>
            </w:r>
            <w:r w:rsidRPr="005206CA">
              <w:rPr>
                <w:rFonts w:cs="Arial"/>
                <w:sz w:val="18"/>
              </w:rPr>
              <w:fldChar w:fldCharType="end"/>
            </w:r>
            <w:bookmarkEnd w:id="692"/>
            <w:r w:rsidRPr="005206CA">
              <w:rPr>
                <w:rFonts w:cs="Arial"/>
                <w:sz w:val="18"/>
              </w:rPr>
              <w:t xml:space="preserve">. </w:t>
            </w:r>
            <w:r w:rsidRPr="005206CA">
              <w:rPr>
                <w:rFonts w:cs="Arial"/>
                <w:sz w:val="18"/>
              </w:rPr>
              <w:tab/>
            </w:r>
            <w:bookmarkStart w:id="703" w:name="_Ref500236818"/>
            <w:r w:rsidR="000B01D8" w:rsidRPr="005206CA">
              <w:rPr>
                <w:rFonts w:cs="Arial"/>
                <w:sz w:val="18"/>
              </w:rPr>
              <w:t>The C</w:t>
            </w:r>
            <w:r w:rsidR="00402F51" w:rsidRPr="005206CA">
              <w:rPr>
                <w:rFonts w:cs="Arial"/>
                <w:sz w:val="18"/>
              </w:rPr>
              <w:t xml:space="preserve">lean </w:t>
            </w:r>
            <w:r w:rsidR="000B01D8" w:rsidRPr="005206CA">
              <w:rPr>
                <w:rFonts w:cs="Arial"/>
                <w:sz w:val="18"/>
              </w:rPr>
              <w:t>E</w:t>
            </w:r>
            <w:r w:rsidR="00402F51" w:rsidRPr="005206CA">
              <w:rPr>
                <w:rFonts w:cs="Arial"/>
                <w:sz w:val="18"/>
              </w:rPr>
              <w:t xml:space="preserve">nergy </w:t>
            </w:r>
            <w:r w:rsidR="000B01D8" w:rsidRPr="005206CA">
              <w:rPr>
                <w:rFonts w:cs="Arial"/>
                <w:sz w:val="18"/>
              </w:rPr>
              <w:t>R</w:t>
            </w:r>
            <w:r w:rsidR="00402F51" w:rsidRPr="005206CA">
              <w:rPr>
                <w:rFonts w:cs="Arial"/>
                <w:sz w:val="18"/>
              </w:rPr>
              <w:t>egulator</w:t>
            </w:r>
            <w:r w:rsidR="000B01D8" w:rsidRPr="005206CA">
              <w:rPr>
                <w:rFonts w:cs="Arial"/>
                <w:sz w:val="18"/>
              </w:rPr>
              <w:t xml:space="preserve"> require scheme participants to provide </w:t>
            </w:r>
            <w:r w:rsidR="000B01D8" w:rsidRPr="005206CA">
              <w:rPr>
                <w:sz w:val="18"/>
                <w:szCs w:val="18"/>
              </w:rPr>
              <w:t xml:space="preserve">fire </w:t>
            </w:r>
            <w:r w:rsidRPr="005206CA">
              <w:rPr>
                <w:sz w:val="18"/>
                <w:szCs w:val="18"/>
              </w:rPr>
              <w:t xml:space="preserve">management plans </w:t>
            </w:r>
            <w:r w:rsidR="000B01D8" w:rsidRPr="005206CA">
              <w:rPr>
                <w:sz w:val="18"/>
                <w:szCs w:val="18"/>
              </w:rPr>
              <w:t>for sequestration and savanna fire projects</w:t>
            </w:r>
            <w:r w:rsidRPr="005206CA">
              <w:rPr>
                <w:sz w:val="18"/>
                <w:szCs w:val="18"/>
              </w:rPr>
              <w:t xml:space="preserve">. These </w:t>
            </w:r>
            <w:r w:rsidR="000B01D8" w:rsidRPr="005206CA">
              <w:rPr>
                <w:sz w:val="18"/>
                <w:szCs w:val="18"/>
              </w:rPr>
              <w:t xml:space="preserve">plans could </w:t>
            </w:r>
            <w:r w:rsidRPr="005206CA">
              <w:rPr>
                <w:sz w:val="18"/>
                <w:szCs w:val="18"/>
              </w:rPr>
              <w:t>be the same as those required to meet state or local fire management requirements.</w:t>
            </w:r>
            <w:bookmarkEnd w:id="693"/>
            <w:bookmarkEnd w:id="694"/>
            <w:bookmarkEnd w:id="695"/>
            <w:bookmarkEnd w:id="696"/>
            <w:bookmarkEnd w:id="697"/>
            <w:bookmarkEnd w:id="698"/>
            <w:bookmarkEnd w:id="699"/>
            <w:bookmarkEnd w:id="700"/>
            <w:bookmarkEnd w:id="701"/>
            <w:bookmarkEnd w:id="702"/>
            <w:bookmarkEnd w:id="703"/>
          </w:p>
        </w:tc>
      </w:tr>
    </w:tbl>
    <w:p w14:paraId="4C22D971" w14:textId="77777777" w:rsidR="007E0199" w:rsidRDefault="007E0199" w:rsidP="00BF0516">
      <w:bookmarkStart w:id="704" w:name="_Toc494905127"/>
      <w:bookmarkStart w:id="705" w:name="_Toc497819477"/>
      <w:bookmarkStart w:id="706" w:name="_Toc498691544"/>
      <w:bookmarkStart w:id="707" w:name="_Toc499043725"/>
      <w:bookmarkStart w:id="708" w:name="_Toc499051750"/>
      <w:bookmarkStart w:id="709" w:name="_Toc500251100"/>
      <w:bookmarkStart w:id="710" w:name="_Toc500251375"/>
      <w:bookmarkStart w:id="711" w:name="_Toc500253972"/>
    </w:p>
    <w:p w14:paraId="4E5AEFD4" w14:textId="77777777" w:rsidR="003002AD" w:rsidRPr="005206CA" w:rsidRDefault="003002AD">
      <w:pPr>
        <w:pStyle w:val="Heading2"/>
      </w:pPr>
      <w:bookmarkStart w:id="712" w:name="_Toc500401479"/>
      <w:bookmarkStart w:id="713" w:name="_Toc500490964"/>
      <w:bookmarkStart w:id="714" w:name="_Toc500512906"/>
      <w:bookmarkStart w:id="715" w:name="_Toc500514161"/>
      <w:bookmarkStart w:id="716" w:name="_Toc500516218"/>
      <w:r w:rsidRPr="005206CA">
        <w:t>Information collection to determine if carbon stores have been lost</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11AF82A4" w14:textId="757A6083" w:rsidR="003002AD" w:rsidRPr="005206CA" w:rsidRDefault="003002AD" w:rsidP="003002AD">
      <w:r w:rsidRPr="005206CA">
        <w:t xml:space="preserve">The </w:t>
      </w:r>
      <w:r w:rsidRPr="005206CA">
        <w:rPr>
          <w:i/>
        </w:rPr>
        <w:t>C</w:t>
      </w:r>
      <w:r w:rsidR="00CF0DC0" w:rsidRPr="005206CA">
        <w:rPr>
          <w:i/>
        </w:rPr>
        <w:t xml:space="preserve">arbon Credits (Carbon </w:t>
      </w:r>
      <w:r w:rsidRPr="005206CA">
        <w:rPr>
          <w:i/>
        </w:rPr>
        <w:t>F</w:t>
      </w:r>
      <w:r w:rsidR="00CF0DC0" w:rsidRPr="005206CA">
        <w:rPr>
          <w:i/>
        </w:rPr>
        <w:t xml:space="preserve">arming </w:t>
      </w:r>
      <w:r w:rsidRPr="005206CA">
        <w:rPr>
          <w:i/>
        </w:rPr>
        <w:t>I</w:t>
      </w:r>
      <w:r w:rsidR="00CF0DC0" w:rsidRPr="005206CA">
        <w:rPr>
          <w:i/>
        </w:rPr>
        <w:t>nitiative)</w:t>
      </w:r>
      <w:r w:rsidRPr="005206CA">
        <w:rPr>
          <w:i/>
        </w:rPr>
        <w:t xml:space="preserve"> Act</w:t>
      </w:r>
      <w:r w:rsidR="00CF0DC0" w:rsidRPr="005206CA">
        <w:rPr>
          <w:i/>
        </w:rPr>
        <w:t xml:space="preserve"> 2011</w:t>
      </w:r>
      <w:r w:rsidR="00CF0DC0" w:rsidRPr="005206CA">
        <w:t xml:space="preserve"> (</w:t>
      </w:r>
      <w:r w:rsidR="00CF0DC0" w:rsidRPr="005206CA">
        <w:rPr>
          <w:rStyle w:val="In-textChar"/>
        </w:rPr>
        <w:t>Cth</w:t>
      </w:r>
      <w:r w:rsidR="00CF0DC0" w:rsidRPr="005206CA">
        <w:t>)</w:t>
      </w:r>
      <w:r w:rsidRPr="005206CA">
        <w:t xml:space="preserve"> imposes a number of reporting and notification requirements for sequestration projects, which can assist the CER to detect a loss of carbon stores. The reporting requirements for sequestration projects continue beyond the crediting period until the CER declares that they cease to apply to a project. The CER can also initiate audits after the crediting period ends. Further, </w:t>
      </w:r>
      <w:r w:rsidR="001213C9">
        <w:t>scheme</w:t>
      </w:r>
      <w:r w:rsidRPr="005206CA">
        <w:t xml:space="preserve"> participants are required to notify the CER of any reversal caused by a natural disturbance or third party. If a participant discontinues the required reporting beyond the crediting period, the CER can</w:t>
      </w:r>
      <w:r w:rsidR="00724E24" w:rsidRPr="005206CA">
        <w:t xml:space="preserve"> eventually</w:t>
      </w:r>
      <w:r w:rsidRPr="005206CA">
        <w:t xml:space="preserve"> revoke the project and seek relinquishment</w:t>
      </w:r>
      <w:r w:rsidR="00C93374" w:rsidRPr="005206CA">
        <w:t xml:space="preserve"> </w:t>
      </w:r>
      <w:r w:rsidRPr="005206CA">
        <w:t>(or the return) of ACCUs. The CER has a number of tools to detect a loss of carbon stores including G</w:t>
      </w:r>
      <w:r w:rsidR="00CF0DC0" w:rsidRPr="005206CA">
        <w:t>eo</w:t>
      </w:r>
      <w:r w:rsidR="006F423F" w:rsidRPr="005206CA">
        <w:t>graphic</w:t>
      </w:r>
      <w:r w:rsidR="00CF0DC0" w:rsidRPr="005206CA">
        <w:t xml:space="preserve"> </w:t>
      </w:r>
      <w:r w:rsidRPr="005206CA">
        <w:t>I</w:t>
      </w:r>
      <w:r w:rsidR="006F423F" w:rsidRPr="005206CA">
        <w:t>nformation</w:t>
      </w:r>
      <w:r w:rsidR="00CF0DC0" w:rsidRPr="005206CA">
        <w:t xml:space="preserve"> </w:t>
      </w:r>
      <w:r w:rsidRPr="005206CA">
        <w:t>S</w:t>
      </w:r>
      <w:r w:rsidR="006F423F" w:rsidRPr="005206CA">
        <w:t>ystem</w:t>
      </w:r>
      <w:r w:rsidRPr="005206CA">
        <w:t xml:space="preserve"> monitoring and verification. </w:t>
      </w:r>
    </w:p>
    <w:p w14:paraId="15339344" w14:textId="72D57BA5" w:rsidR="003002AD" w:rsidRPr="005206CA" w:rsidRDefault="003002AD" w:rsidP="003002AD">
      <w:r w:rsidRPr="005206CA">
        <w:t>The Authority notes that the Government will need to plan to maintain its capacity to monitor permanence and enforce compliance for the length of the permanence period (</w:t>
      </w:r>
      <w:r w:rsidR="00C93374" w:rsidRPr="005206CA">
        <w:t xml:space="preserve">up to </w:t>
      </w:r>
      <w:r w:rsidRPr="005206CA">
        <w:t>100</w:t>
      </w:r>
      <w:r w:rsidR="00E82831" w:rsidRPr="005206CA">
        <w:t> </w:t>
      </w:r>
      <w:r w:rsidRPr="005206CA">
        <w:t>years). This is likely to encompass future machinery of government changes and successor organisations to the CER. High quality record keeping and ongoing regulatory ‘posture’ to enforce compliance will be needed.</w:t>
      </w:r>
    </w:p>
    <w:p w14:paraId="3DD4BA4C" w14:textId="77777777" w:rsidR="003002AD" w:rsidRPr="005206CA" w:rsidRDefault="003002AD">
      <w:pPr>
        <w:pStyle w:val="Heading2"/>
      </w:pPr>
      <w:bookmarkStart w:id="717" w:name="_Toc494905128"/>
      <w:bookmarkStart w:id="718" w:name="_Toc497819478"/>
      <w:bookmarkStart w:id="719" w:name="_Toc498691545"/>
      <w:bookmarkStart w:id="720" w:name="_Toc499043726"/>
      <w:bookmarkStart w:id="721" w:name="_Toc499051751"/>
      <w:bookmarkStart w:id="722" w:name="_Toc500251101"/>
      <w:bookmarkStart w:id="723" w:name="_Toc500251376"/>
      <w:bookmarkStart w:id="724" w:name="_Toc500253973"/>
      <w:bookmarkStart w:id="725" w:name="_Toc500401480"/>
      <w:bookmarkStart w:id="726" w:name="_Toc500490965"/>
      <w:bookmarkStart w:id="727" w:name="_Toc500512907"/>
      <w:bookmarkStart w:id="728" w:name="_Toc500514162"/>
      <w:bookmarkStart w:id="729" w:name="_Toc500516219"/>
      <w:r w:rsidRPr="005206CA">
        <w:t>Enforcement powers</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24FBD226" w14:textId="77777777" w:rsidR="003002AD" w:rsidRPr="005206CA" w:rsidRDefault="003002AD" w:rsidP="003002AD">
      <w:r w:rsidRPr="005206CA">
        <w:t xml:space="preserve">If the CER detects that carbon stores have been lost or </w:t>
      </w:r>
      <w:r w:rsidR="002C04B6" w:rsidRPr="005206CA">
        <w:t xml:space="preserve">are </w:t>
      </w:r>
      <w:r w:rsidRPr="005206CA">
        <w:t xml:space="preserve">at risk of being lost, it can use its monitoring powers to request information, conduct an inspection or audit a project to identify the reduction in carbon stores. </w:t>
      </w:r>
    </w:p>
    <w:p w14:paraId="6BB9BBCB" w14:textId="1B34492D" w:rsidR="003002AD" w:rsidRPr="005206CA" w:rsidRDefault="003002AD" w:rsidP="003002AD">
      <w:r w:rsidRPr="005206CA">
        <w:t xml:space="preserve">If there has been a significant reversal, the CER can issue a notice requiring the scheme participant to relinquish (or </w:t>
      </w:r>
      <w:r w:rsidR="00E363A6" w:rsidRPr="005206CA">
        <w:t>return</w:t>
      </w:r>
      <w:r w:rsidRPr="005206CA">
        <w:t>) ACCUs to the CER. For a reversal of carbon stores caused by a natural disturbance, the C</w:t>
      </w:r>
      <w:r w:rsidR="00CF0DC0" w:rsidRPr="005206CA">
        <w:t xml:space="preserve">arbon </w:t>
      </w:r>
      <w:r w:rsidRPr="005206CA">
        <w:t>F</w:t>
      </w:r>
      <w:r w:rsidR="00CF0DC0" w:rsidRPr="005206CA">
        <w:t xml:space="preserve">arming </w:t>
      </w:r>
      <w:r w:rsidRPr="005206CA">
        <w:t>I</w:t>
      </w:r>
      <w:r w:rsidR="00CF0DC0" w:rsidRPr="005206CA">
        <w:t>nitiative</w:t>
      </w:r>
      <w:r w:rsidR="00994ED8" w:rsidRPr="005206CA">
        <w:t xml:space="preserve"> (CFI)</w:t>
      </w:r>
      <w:r w:rsidRPr="005206CA">
        <w:t xml:space="preserve"> rule defines a significant reversal as one that affects at least </w:t>
      </w:r>
      <w:r w:rsidR="002D7994" w:rsidRPr="005206CA">
        <w:t>five</w:t>
      </w:r>
      <w:r w:rsidRPr="005206CA">
        <w:t xml:space="preserve"> per cent of the total project area. For human</w:t>
      </w:r>
      <w:r w:rsidR="00722380" w:rsidRPr="005206CA">
        <w:t>-</w:t>
      </w:r>
      <w:r w:rsidRPr="005206CA">
        <w:t xml:space="preserve">induced reversals, a significant reversal is defined as a reversal that affects at least the smaller of </w:t>
      </w:r>
      <w:r w:rsidR="0006626D">
        <w:t>5</w:t>
      </w:r>
      <w:r w:rsidR="0006626D" w:rsidRPr="005206CA">
        <w:t xml:space="preserve"> </w:t>
      </w:r>
      <w:r w:rsidRPr="005206CA">
        <w:t xml:space="preserve">per cent of the total project area or 50 hectares. </w:t>
      </w:r>
    </w:p>
    <w:p w14:paraId="4F66393B" w14:textId="40C9C744" w:rsidR="003002AD" w:rsidRPr="005206CA" w:rsidRDefault="003002AD" w:rsidP="003002AD">
      <w:r w:rsidRPr="005206CA">
        <w:t xml:space="preserve">The threshold at which the CER can require </w:t>
      </w:r>
      <w:r w:rsidR="006517B3">
        <w:t>scheme</w:t>
      </w:r>
      <w:r w:rsidR="006517B3" w:rsidRPr="005206CA">
        <w:t xml:space="preserve"> </w:t>
      </w:r>
      <w:r w:rsidRPr="005206CA">
        <w:t xml:space="preserve">participants to relinquish or hand back ACCUs should be calibrated to the risk that the carbon may not be replaced across the life of the project’s </w:t>
      </w:r>
      <w:r w:rsidR="008030FE">
        <w:t>permanence</w:t>
      </w:r>
      <w:r w:rsidR="008030FE" w:rsidRPr="005206CA">
        <w:t xml:space="preserve"> </w:t>
      </w:r>
      <w:r w:rsidRPr="005206CA">
        <w:t>period. The actual volume of carbon potentially lost for each sequestration project will be an important consideration for assessing that risk. A percentage based threshold may not work well for a sequestration project that stretches over a large land area as a large volume of abatement under the threshold could be lost. Further, five per cent of a small project may not in fact represent a significant volume of carbon stored. There may also be value in better aligning the threshold for human</w:t>
      </w:r>
      <w:r w:rsidR="00722380" w:rsidRPr="005206CA">
        <w:t>-</w:t>
      </w:r>
      <w:r w:rsidRPr="005206CA">
        <w:t>induced and natural los</w:t>
      </w:r>
      <w:r w:rsidR="00994ED8" w:rsidRPr="005206CA">
        <w:t>s</w:t>
      </w:r>
      <w:r w:rsidRPr="005206CA">
        <w:t>es in the interests of making CER decision making and processes more efficient. The Authority therefore recommends that the Government revisit the thresholds in the CFI legislation for requiring ACCUs to be relinquished for both natural and human</w:t>
      </w:r>
      <w:r w:rsidR="00722380" w:rsidRPr="005206CA">
        <w:t>-</w:t>
      </w:r>
      <w:r w:rsidRPr="005206CA">
        <w:t>induced reversals, in light of the needs of the scheme.</w:t>
      </w:r>
    </w:p>
    <w:tbl>
      <w:tblPr>
        <w:tblStyle w:val="TableGrid"/>
        <w:tblW w:w="0" w:type="auto"/>
        <w:shd w:val="clear" w:color="auto" w:fill="E6ECF2"/>
        <w:tblLook w:val="04A0" w:firstRow="1" w:lastRow="0" w:firstColumn="1" w:lastColumn="0" w:noHBand="0" w:noVBand="1"/>
      </w:tblPr>
      <w:tblGrid>
        <w:gridCol w:w="9202"/>
      </w:tblGrid>
      <w:tr w:rsidR="003002AD" w:rsidRPr="005206CA" w14:paraId="56A548FE" w14:textId="77777777" w:rsidTr="00C327F1">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1FAE6839" w14:textId="77777777" w:rsidR="003002AD" w:rsidRPr="005206CA" w:rsidRDefault="003002AD" w:rsidP="00C327F1">
            <w:pPr>
              <w:rPr>
                <w:b/>
                <w:color w:val="159DCE"/>
                <w:sz w:val="18"/>
                <w:szCs w:val="18"/>
              </w:rPr>
            </w:pPr>
            <w:r w:rsidRPr="005206CA">
              <w:rPr>
                <w:b/>
                <w:color w:val="159DCE"/>
                <w:sz w:val="18"/>
                <w:szCs w:val="18"/>
              </w:rPr>
              <w:t>RECOMMENDATION</w:t>
            </w:r>
          </w:p>
          <w:p w14:paraId="00E119BE" w14:textId="2F6B2F1D" w:rsidR="003002AD" w:rsidRPr="005206CA" w:rsidRDefault="003002AD" w:rsidP="00D17417">
            <w:pPr>
              <w:spacing w:after="140" w:line="320" w:lineRule="exact"/>
              <w:ind w:left="851" w:hanging="851"/>
              <w:rPr>
                <w:sz w:val="18"/>
                <w:szCs w:val="18"/>
              </w:rPr>
            </w:pPr>
            <w:bookmarkStart w:id="730" w:name="_Ref497827637"/>
            <w:bookmarkStart w:id="731" w:name="_Toc497827435"/>
            <w:bookmarkStart w:id="732" w:name="_Toc497834071"/>
            <w:bookmarkStart w:id="733" w:name="_Toc498534520"/>
            <w:bookmarkStart w:id="734" w:name="_Toc498614715"/>
            <w:bookmarkStart w:id="735" w:name="_Toc498691470"/>
            <w:bookmarkStart w:id="736" w:name="_Toc499051669"/>
            <w:bookmarkStart w:id="737" w:name="_Toc499202054"/>
            <w:bookmarkStart w:id="738" w:name="_Toc499892337"/>
            <w:bookmarkStart w:id="739" w:name="_Toc499898698"/>
            <w:bookmarkStart w:id="740" w:name="_Toc499899338"/>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8</w:t>
            </w:r>
            <w:r w:rsidRPr="005206CA">
              <w:rPr>
                <w:rFonts w:cs="Arial"/>
                <w:sz w:val="18"/>
              </w:rPr>
              <w:fldChar w:fldCharType="end"/>
            </w:r>
            <w:bookmarkEnd w:id="730"/>
            <w:r w:rsidRPr="005206CA">
              <w:rPr>
                <w:rFonts w:cs="Arial"/>
                <w:sz w:val="18"/>
              </w:rPr>
              <w:t xml:space="preserve">. </w:t>
            </w:r>
            <w:r w:rsidRPr="005206CA">
              <w:rPr>
                <w:rFonts w:cs="Arial"/>
                <w:sz w:val="18"/>
              </w:rPr>
              <w:tab/>
            </w:r>
            <w:bookmarkStart w:id="741" w:name="_Ref500236824"/>
            <w:r w:rsidRPr="005206CA">
              <w:rPr>
                <w:sz w:val="18"/>
                <w:szCs w:val="18"/>
              </w:rPr>
              <w:t xml:space="preserve">The </w:t>
            </w:r>
            <w:r w:rsidR="00D17417" w:rsidRPr="005206CA">
              <w:rPr>
                <w:sz w:val="18"/>
                <w:szCs w:val="18"/>
              </w:rPr>
              <w:t xml:space="preserve">Department </w:t>
            </w:r>
            <w:r w:rsidRPr="005206CA">
              <w:rPr>
                <w:sz w:val="18"/>
                <w:szCs w:val="18"/>
              </w:rPr>
              <w:t>review the definition of a significant reversal</w:t>
            </w:r>
            <w:r w:rsidR="00A95AE3">
              <w:rPr>
                <w:sz w:val="18"/>
                <w:szCs w:val="18"/>
              </w:rPr>
              <w:t xml:space="preserve"> of carbon stored</w:t>
            </w:r>
            <w:r w:rsidRPr="005206CA">
              <w:rPr>
                <w:sz w:val="18"/>
                <w:szCs w:val="18"/>
              </w:rPr>
              <w:t xml:space="preserve"> to ensure </w:t>
            </w:r>
            <w:r w:rsidR="00D17417" w:rsidRPr="005206CA">
              <w:rPr>
                <w:sz w:val="18"/>
                <w:szCs w:val="18"/>
              </w:rPr>
              <w:t xml:space="preserve">it is calibrated to </w:t>
            </w:r>
            <w:r w:rsidRPr="005206CA">
              <w:rPr>
                <w:sz w:val="18"/>
                <w:szCs w:val="18"/>
              </w:rPr>
              <w:t>the risk of carbon losses across the scheme.</w:t>
            </w:r>
            <w:bookmarkEnd w:id="731"/>
            <w:bookmarkEnd w:id="732"/>
            <w:bookmarkEnd w:id="733"/>
            <w:bookmarkEnd w:id="734"/>
            <w:bookmarkEnd w:id="735"/>
            <w:bookmarkEnd w:id="736"/>
            <w:bookmarkEnd w:id="737"/>
            <w:bookmarkEnd w:id="738"/>
            <w:bookmarkEnd w:id="739"/>
            <w:bookmarkEnd w:id="740"/>
            <w:bookmarkEnd w:id="741"/>
          </w:p>
        </w:tc>
      </w:tr>
    </w:tbl>
    <w:p w14:paraId="36B44C1E" w14:textId="77777777" w:rsidR="007E0199" w:rsidRDefault="007E0199" w:rsidP="003002AD">
      <w:pPr>
        <w:spacing w:before="120"/>
      </w:pPr>
    </w:p>
    <w:p w14:paraId="1DEE103E" w14:textId="77777777" w:rsidR="003002AD" w:rsidRPr="005206CA" w:rsidRDefault="003002AD" w:rsidP="003002AD">
      <w:pPr>
        <w:spacing w:before="120"/>
      </w:pPr>
      <w:r w:rsidRPr="005206CA">
        <w:t xml:space="preserve">If the participant fails to provide the ACCUs </w:t>
      </w:r>
      <w:r w:rsidR="002C04B6" w:rsidRPr="005206CA">
        <w:t xml:space="preserve">to the CER </w:t>
      </w:r>
      <w:r w:rsidRPr="005206CA">
        <w:t>within 90 days of receiving a relinquishment notice, the participant becomes liable to pay an administrative penalty to the CER. The administrative penalty is the higher of $20 per ACCU or twice the market price of ACCUs.</w:t>
      </w:r>
    </w:p>
    <w:p w14:paraId="50F1E2E7" w14:textId="6B9A4D9E" w:rsidR="003002AD" w:rsidRPr="005206CA" w:rsidRDefault="003002AD" w:rsidP="003002AD">
      <w:r w:rsidRPr="005206CA">
        <w:t xml:space="preserve">If the person does not relinquish ACCUs to the CER or pay the administrative penalty, the CER may pursue this </w:t>
      </w:r>
      <w:r w:rsidR="006517B3">
        <w:t>scheme</w:t>
      </w:r>
      <w:r w:rsidR="006517B3" w:rsidRPr="005206CA">
        <w:t xml:space="preserve"> </w:t>
      </w:r>
      <w:r w:rsidRPr="005206CA">
        <w:t xml:space="preserve">participant in court for civil prosecution. Further, if a person makes an arrangement (such as asset transfers) to avoid paying the penalty, the CER could refer them to the courts for criminal prosecution. The penalties for criminal prosecution are imprisonment for up to </w:t>
      </w:r>
      <w:r w:rsidR="0006626D">
        <w:t>7</w:t>
      </w:r>
      <w:r w:rsidR="0006626D" w:rsidRPr="005206CA">
        <w:t xml:space="preserve"> </w:t>
      </w:r>
      <w:r w:rsidRPr="005206CA">
        <w:t xml:space="preserve">years, a fine of up to $420,000, or both. As the participant has breached the CFI Act by failing to comply with the permanence obligation, he or she may no longer pass the </w:t>
      </w:r>
      <w:r w:rsidR="00CF0ECD">
        <w:t>F</w:t>
      </w:r>
      <w:r w:rsidRPr="005206CA">
        <w:t xml:space="preserve">it and </w:t>
      </w:r>
      <w:r w:rsidR="00CF0ECD">
        <w:t>P</w:t>
      </w:r>
      <w:r w:rsidR="00CF0ECD" w:rsidRPr="005206CA">
        <w:t>roper</w:t>
      </w:r>
      <w:r w:rsidRPr="005206CA" w:rsidDel="00CF0ECD">
        <w:t xml:space="preserve"> </w:t>
      </w:r>
      <w:r w:rsidR="00CF0ECD">
        <w:t>P</w:t>
      </w:r>
      <w:r w:rsidR="00CF0ECD" w:rsidRPr="005206CA">
        <w:t>erson</w:t>
      </w:r>
      <w:r w:rsidRPr="005206CA">
        <w:t xml:space="preserve"> test, empowering the CER to revoke all of the participant’s projects. This would mean that the participant could no longer earn ACCUs for other projects and the CER could seek relinquishment of ACCUs. </w:t>
      </w:r>
    </w:p>
    <w:p w14:paraId="6A9AA396" w14:textId="26F4845C" w:rsidR="002C04B6" w:rsidRPr="005206CA" w:rsidRDefault="003002AD" w:rsidP="002C04B6">
      <w:r w:rsidRPr="005206CA">
        <w:t xml:space="preserve">The CER can also impose a carbon maintenance obligation </w:t>
      </w:r>
      <w:r w:rsidR="00477451" w:rsidRPr="005206CA">
        <w:t xml:space="preserve">(CMO) </w:t>
      </w:r>
      <w:r w:rsidRPr="005206CA">
        <w:t>on the landholder of a project area</w:t>
      </w:r>
      <w:r w:rsidR="002C04B6" w:rsidRPr="005206CA">
        <w:t xml:space="preserve"> to stop them damaging or removing the carbon. The CMO can be imposed if the CER thinks it likely that carbon could be lost as a result of human action</w:t>
      </w:r>
      <w:r w:rsidR="00AE0B04" w:rsidRPr="005206CA">
        <w:t xml:space="preserve">, </w:t>
      </w:r>
      <w:r w:rsidR="002C04B6" w:rsidRPr="005206CA">
        <w:t>if some carbon has already been lost and in cases where the CER thinks it is likely that the landholder will not comply with an order to relinquish ACCUs. The CMO can be imposed at the same time, after or before the CER orders ACCUs to be relinquished. The CER is required to notify the landholder of the CMO at the time it is imposed.</w:t>
      </w:r>
    </w:p>
    <w:p w14:paraId="4982B25E" w14:textId="77777777" w:rsidR="003002AD" w:rsidRPr="005206CA" w:rsidRDefault="003002AD" w:rsidP="003002AD">
      <w:r w:rsidRPr="005206CA">
        <w:t xml:space="preserve">If the carbon is maintained, </w:t>
      </w:r>
      <w:r w:rsidR="00477451" w:rsidRPr="005206CA">
        <w:t xml:space="preserve">the CMO </w:t>
      </w:r>
      <w:r w:rsidRPr="005206CA">
        <w:t xml:space="preserve">does not prevent the land being used for other purposes. </w:t>
      </w:r>
    </w:p>
    <w:p w14:paraId="3601AA2C" w14:textId="0D867C97" w:rsidR="003002AD" w:rsidRPr="005206CA" w:rsidRDefault="003002AD" w:rsidP="003002AD">
      <w:r w:rsidRPr="005206CA">
        <w:t xml:space="preserve">The CER can pursue civil remedies against persons who contravene the </w:t>
      </w:r>
      <w:r w:rsidR="00AE0B04" w:rsidRPr="005206CA">
        <w:t>CMO</w:t>
      </w:r>
      <w:r w:rsidRPr="005206CA">
        <w:t xml:space="preserve">, including injunctions and financial penalties of up to $2.1 million per contravention. These penalties remain available to the CER over the 25 or 100 year life of the permanence period. To date no instances of non-compliance related to permanence have been detected. </w:t>
      </w:r>
    </w:p>
    <w:p w14:paraId="78EA34A5" w14:textId="6C4921E7" w:rsidR="003002AD" w:rsidRPr="005206CA" w:rsidRDefault="003002AD" w:rsidP="003002AD">
      <w:r w:rsidRPr="005206CA">
        <w:fldChar w:fldCharType="begin"/>
      </w:r>
      <w:r w:rsidRPr="005206CA">
        <w:instrText xml:space="preserve"> REF _Ref497817648 \h </w:instrText>
      </w:r>
      <w:r w:rsidR="0002132E" w:rsidRPr="005206CA">
        <w:instrText xml:space="preserve"> \* MERGEFORMAT </w:instrText>
      </w:r>
      <w:r w:rsidRPr="005206CA">
        <w:fldChar w:fldCharType="separate"/>
      </w:r>
      <w:r w:rsidR="00FA2002" w:rsidRPr="005206CA">
        <w:t xml:space="preserve">Figure </w:t>
      </w:r>
      <w:r w:rsidR="00FA2002">
        <w:rPr>
          <w:noProof/>
        </w:rPr>
        <w:t>7</w:t>
      </w:r>
      <w:r w:rsidRPr="005206CA">
        <w:fldChar w:fldCharType="end"/>
      </w:r>
      <w:r w:rsidRPr="005206CA">
        <w:t xml:space="preserve"> summarises the CER process for enforcing compliance with the permanence obligation.</w:t>
      </w:r>
    </w:p>
    <w:p w14:paraId="4BF295E7" w14:textId="089EF8AD" w:rsidR="003002AD" w:rsidRPr="005206CA" w:rsidRDefault="003002AD" w:rsidP="003002AD">
      <w:pPr>
        <w:pStyle w:val="CCAFigure"/>
      </w:pPr>
      <w:bookmarkStart w:id="742" w:name="_Ref497817648"/>
      <w:bookmarkStart w:id="743" w:name="_Toc497819426"/>
      <w:bookmarkStart w:id="744" w:name="_Toc497827466"/>
      <w:bookmarkStart w:id="745" w:name="_Toc497834102"/>
      <w:bookmarkStart w:id="746" w:name="_Toc498691507"/>
      <w:bookmarkStart w:id="747" w:name="_Toc499051708"/>
      <w:bookmarkStart w:id="748" w:name="_Toc500251056"/>
      <w:bookmarkStart w:id="749" w:name="_Toc500251331"/>
      <w:bookmarkStart w:id="750" w:name="_Toc500253928"/>
      <w:bookmarkStart w:id="751" w:name="_Toc500490921"/>
      <w:bookmarkStart w:id="752" w:name="_Toc500513616"/>
      <w:bookmarkStart w:id="753" w:name="_Toc500516175"/>
      <w:r w:rsidRPr="005206CA">
        <w:t xml:space="preserve">Figure </w:t>
      </w:r>
      <w:r w:rsidR="00FA2002">
        <w:fldChar w:fldCharType="begin"/>
      </w:r>
      <w:r w:rsidR="00FA2002">
        <w:instrText xml:space="preserve"> SEQ Figure \* ARABIC </w:instrText>
      </w:r>
      <w:r w:rsidR="00FA2002">
        <w:fldChar w:fldCharType="separate"/>
      </w:r>
      <w:r w:rsidR="00FA2002">
        <w:rPr>
          <w:noProof/>
        </w:rPr>
        <w:t>7</w:t>
      </w:r>
      <w:r w:rsidR="00FA2002">
        <w:rPr>
          <w:noProof/>
        </w:rPr>
        <w:fldChar w:fldCharType="end"/>
      </w:r>
      <w:bookmarkEnd w:id="742"/>
      <w:r w:rsidRPr="005206CA">
        <w:rPr>
          <w:noProof/>
        </w:rPr>
        <w:t>:</w:t>
      </w:r>
      <w:r w:rsidRPr="005206CA">
        <w:t xml:space="preserve"> Enforcing compliance with the permanence obligation</w:t>
      </w:r>
      <w:bookmarkEnd w:id="743"/>
      <w:bookmarkEnd w:id="744"/>
      <w:bookmarkEnd w:id="745"/>
      <w:bookmarkEnd w:id="746"/>
      <w:bookmarkEnd w:id="747"/>
      <w:bookmarkEnd w:id="748"/>
      <w:bookmarkEnd w:id="749"/>
      <w:bookmarkEnd w:id="750"/>
      <w:bookmarkEnd w:id="751"/>
      <w:bookmarkEnd w:id="752"/>
      <w:bookmarkEnd w:id="753"/>
    </w:p>
    <w:p w14:paraId="6A7068D2" w14:textId="2B018D6E" w:rsidR="003002AD" w:rsidRPr="005206CA" w:rsidRDefault="00713E7C" w:rsidP="003002AD">
      <w:r w:rsidRPr="005206CA">
        <w:rPr>
          <w:noProof/>
          <w:lang w:eastAsia="en-AU"/>
        </w:rPr>
        <w:drawing>
          <wp:inline distT="0" distB="0" distL="0" distR="0" wp14:anchorId="5F638521" wp14:editId="5AD3FE09">
            <wp:extent cx="5848350" cy="5467350"/>
            <wp:effectExtent l="0" t="0" r="0" b="0"/>
            <wp:docPr id="16" name="Picture 16" descr="Figure 7 is a schematic, which shows the process for enforcing compliance with the permanence obligation: Firstly, the CER becomes aware that carbon stores may have been lost or are at risk. Secondly, the CER identifies a reduction or a risk of a reduction in carbon stores. Thirdly, the CER seeks compensation for a reduction in carbon stores." title="Figure 7: Enforcing compliance with the permanence obl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5467350"/>
                    </a:xfrm>
                    <a:prstGeom prst="rect">
                      <a:avLst/>
                    </a:prstGeom>
                    <a:noFill/>
                    <a:ln>
                      <a:noFill/>
                    </a:ln>
                  </pic:spPr>
                </pic:pic>
              </a:graphicData>
            </a:graphic>
          </wp:inline>
        </w:drawing>
      </w:r>
    </w:p>
    <w:p w14:paraId="461F4596" w14:textId="3063A040" w:rsidR="00056722" w:rsidRPr="005206CA" w:rsidRDefault="0024716F" w:rsidP="00AC7279">
      <w:pPr>
        <w:pStyle w:val="Footnote"/>
        <w:spacing w:after="0"/>
        <w:rPr>
          <w:b/>
        </w:rPr>
      </w:pPr>
      <w:r w:rsidRPr="00AC7279">
        <w:rPr>
          <w:b/>
        </w:rPr>
        <w:t>Note</w:t>
      </w:r>
      <w:r w:rsidRPr="005206CA">
        <w:t>: The CMO can be imposed at the same time, after or before the CER orders ACCUs to be relinquished.</w:t>
      </w:r>
    </w:p>
    <w:p w14:paraId="3B90ECC9" w14:textId="5AB7C082" w:rsidR="005C662C" w:rsidRDefault="005C662C" w:rsidP="00AC7279">
      <w:pPr>
        <w:pStyle w:val="Footnote"/>
        <w:spacing w:after="0"/>
        <w:rPr>
          <w:rStyle w:val="In-textChar"/>
          <w:sz w:val="17"/>
          <w:szCs w:val="16"/>
        </w:rPr>
      </w:pPr>
      <w:r w:rsidRPr="00AC7279">
        <w:rPr>
          <w:b/>
        </w:rPr>
        <w:t>Source</w:t>
      </w:r>
      <w:r w:rsidRPr="005206CA">
        <w:t xml:space="preserve">: </w:t>
      </w:r>
      <w:r w:rsidRPr="005206CA">
        <w:rPr>
          <w:rStyle w:val="In-textChar"/>
          <w:sz w:val="17"/>
          <w:szCs w:val="16"/>
        </w:rPr>
        <w:t>C</w:t>
      </w:r>
      <w:r w:rsidR="000E6CCB">
        <w:rPr>
          <w:rStyle w:val="In-textChar"/>
          <w:sz w:val="17"/>
          <w:szCs w:val="16"/>
        </w:rPr>
        <w:t xml:space="preserve">limate </w:t>
      </w:r>
      <w:r w:rsidRPr="005206CA">
        <w:rPr>
          <w:rStyle w:val="In-textChar"/>
          <w:sz w:val="17"/>
          <w:szCs w:val="16"/>
        </w:rPr>
        <w:t>C</w:t>
      </w:r>
      <w:r w:rsidR="000E6CCB">
        <w:rPr>
          <w:rStyle w:val="In-textChar"/>
          <w:sz w:val="17"/>
          <w:szCs w:val="16"/>
        </w:rPr>
        <w:t xml:space="preserve">hange </w:t>
      </w:r>
      <w:r w:rsidRPr="005206CA">
        <w:rPr>
          <w:rStyle w:val="In-textChar"/>
          <w:sz w:val="17"/>
          <w:szCs w:val="16"/>
        </w:rPr>
        <w:t>A</w:t>
      </w:r>
      <w:r w:rsidR="000E6CCB">
        <w:rPr>
          <w:rStyle w:val="In-textChar"/>
          <w:sz w:val="17"/>
          <w:szCs w:val="16"/>
        </w:rPr>
        <w:t>uthority.</w:t>
      </w:r>
    </w:p>
    <w:p w14:paraId="08208956" w14:textId="77777777" w:rsidR="003D6D22" w:rsidRPr="005206CA" w:rsidRDefault="003D6D22" w:rsidP="00AC7279">
      <w:pPr>
        <w:pStyle w:val="Footnote"/>
        <w:spacing w:after="0"/>
      </w:pPr>
    </w:p>
    <w:p w14:paraId="75722DE8" w14:textId="05CA3371" w:rsidR="003002AD" w:rsidRPr="005206CA" w:rsidRDefault="003002AD" w:rsidP="003002AD">
      <w:r w:rsidRPr="005206CA">
        <w:t>The Authority considered whether there is a need for the CER to have new or enhanced powers to improve compliance with the ERF’s permanence obligations by considering programs with similar long term obligations.</w:t>
      </w:r>
      <w:r w:rsidRPr="005206CA" w:rsidDel="00902CD0">
        <w:t xml:space="preserve"> </w:t>
      </w:r>
      <w:r w:rsidRPr="005206CA">
        <w:t xml:space="preserve">State and territory conservation covenanting programs appear to be the only </w:t>
      </w:r>
      <w:r w:rsidR="009D136D">
        <w:t xml:space="preserve">government initiative that is an </w:t>
      </w:r>
      <w:r w:rsidRPr="005206CA">
        <w:t>analogue with the ERF’s permanence obligations. A conservation covenant is an agreement to conserve the natural environment on a property by restricting land use for a specified period of time or in perpetuity. In some jurisdictions, the covenant is recorded on the state government’s land title register and legally binds current and future owners for the length of the agreement. Compliance arrangements for these programs include reporting and auditing, fines and requirements for landholders to re-establish vegetation if it is cleared. The CER has similar compliance powers other than the ability to register permanence obligations on state land title registers and</w:t>
      </w:r>
      <w:r w:rsidR="006B6759" w:rsidRPr="005206CA">
        <w:t xml:space="preserve"> impose fines. </w:t>
      </w:r>
      <w:r w:rsidR="006B6759" w:rsidRPr="00E26AB7">
        <w:t>Recommendations</w:t>
      </w:r>
      <w:r w:rsidR="00E26AB7">
        <w:t xml:space="preserve"> </w:t>
      </w:r>
      <w:r w:rsidR="00E26AB7">
        <w:rPr>
          <w:rStyle w:val="SectionChapterChar"/>
        </w:rPr>
        <w:t>R.11</w:t>
      </w:r>
      <w:r w:rsidR="006B6759" w:rsidRPr="00E26AB7">
        <w:t xml:space="preserve"> (guidance to conveyancers) and </w:t>
      </w:r>
      <w:r w:rsidR="00E26AB7">
        <w:rPr>
          <w:rStyle w:val="SectionChapterChar"/>
        </w:rPr>
        <w:t xml:space="preserve">R.25 </w:t>
      </w:r>
      <w:r w:rsidR="006B6759" w:rsidRPr="00E26AB7">
        <w:t>(on penalty</w:t>
      </w:r>
      <w:r w:rsidR="006B6759" w:rsidRPr="005206CA">
        <w:t xml:space="preserve"> infringement notices)</w:t>
      </w:r>
      <w:r w:rsidRPr="005206CA">
        <w:t xml:space="preserve"> in </w:t>
      </w:r>
      <w:r w:rsidR="0006626D">
        <w:rPr>
          <w:rStyle w:val="SectionChapterChar"/>
        </w:rPr>
        <w:t>Section 5.6</w:t>
      </w:r>
      <w:r w:rsidR="006B6759" w:rsidRPr="00AC7279">
        <w:rPr>
          <w:rStyle w:val="SectionChapterChar"/>
        </w:rPr>
        <w:t xml:space="preserve"> and </w:t>
      </w:r>
      <w:r w:rsidR="0006626D">
        <w:rPr>
          <w:rStyle w:val="SectionChapterChar"/>
        </w:rPr>
        <w:t>Section 12.4</w:t>
      </w:r>
      <w:r w:rsidR="006B6759" w:rsidRPr="005206CA">
        <w:t xml:space="preserve"> respectively</w:t>
      </w:r>
      <w:r w:rsidRPr="005206CA">
        <w:t xml:space="preserve"> are intended to help the CER in these areas. These recommendations aside, the Authority considers that the CER has sufficient powers in its armoury to deal with permanence.</w:t>
      </w:r>
    </w:p>
    <w:p w14:paraId="38581385" w14:textId="39243CDC" w:rsidR="003002AD" w:rsidRPr="005206CA" w:rsidRDefault="003002AD" w:rsidP="003002AD">
      <w:r w:rsidRPr="005206CA">
        <w:t xml:space="preserve">There is a risk however that scheme </w:t>
      </w:r>
      <w:r w:rsidR="006D79FA" w:rsidRPr="005206CA">
        <w:t>participants</w:t>
      </w:r>
      <w:r w:rsidRPr="005206CA">
        <w:t xml:space="preserve"> may believe that the Government will be reluctant to enforce permanence obligations on individual land holders many years into the future. The Authority is of the view that the CER’s posture (or disposition as to how it will deal with lack of permanence) is of particular importance here. The Authority encourages the CER to advise scheme participants that it takes the permanence obligations very seriously and intends to use the full range of its compliance penalties, as </w:t>
      </w:r>
      <w:r w:rsidR="009D136D">
        <w:t>needed</w:t>
      </w:r>
      <w:r w:rsidRPr="005206CA">
        <w:t xml:space="preserve">, for any </w:t>
      </w:r>
      <w:r w:rsidR="00477451" w:rsidRPr="005206CA">
        <w:t xml:space="preserve">significant </w:t>
      </w:r>
      <w:r w:rsidRPr="005206CA">
        <w:t xml:space="preserve">instances of non-compliance. </w:t>
      </w:r>
    </w:p>
    <w:p w14:paraId="25F1A112" w14:textId="77777777" w:rsidR="003002AD" w:rsidRPr="005206CA" w:rsidRDefault="003002AD">
      <w:pPr>
        <w:pStyle w:val="Heading2"/>
      </w:pPr>
      <w:bookmarkStart w:id="754" w:name="_Toc494905129"/>
      <w:bookmarkStart w:id="755" w:name="_Toc497819479"/>
      <w:bookmarkStart w:id="756" w:name="_Toc498691546"/>
      <w:bookmarkStart w:id="757" w:name="_Toc499043727"/>
      <w:bookmarkStart w:id="758" w:name="_Toc499051752"/>
      <w:bookmarkStart w:id="759" w:name="_Toc500251102"/>
      <w:bookmarkStart w:id="760" w:name="_Toc500251377"/>
      <w:bookmarkStart w:id="761" w:name="_Toc500253974"/>
      <w:bookmarkStart w:id="762" w:name="_Toc500401481"/>
      <w:bookmarkStart w:id="763" w:name="_Toc500490966"/>
      <w:bookmarkStart w:id="764" w:name="_Toc500512908"/>
      <w:bookmarkStart w:id="765" w:name="_Toc500514163"/>
      <w:bookmarkStart w:id="766" w:name="_Toc500516220"/>
      <w:r w:rsidRPr="005206CA">
        <w:t>Visibility of permanence obligations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3F8A86B2" w14:textId="2637D3DF" w:rsidR="00C94351" w:rsidRPr="005206CA" w:rsidRDefault="003002AD" w:rsidP="003002AD">
      <w:r w:rsidRPr="005206CA">
        <w:t xml:space="preserve">If land is transferred to a new owner, the </w:t>
      </w:r>
      <w:r w:rsidR="00994ED8" w:rsidRPr="005206CA">
        <w:t>CMO</w:t>
      </w:r>
      <w:r w:rsidRPr="005206CA">
        <w:t xml:space="preserve"> continues to apply. It is therefore important that permanence obligations are easily discoverable to potential buyers. The CER project register is available freely online and can be used as</w:t>
      </w:r>
      <w:r w:rsidR="00C94351" w:rsidRPr="005206CA">
        <w:t>:</w:t>
      </w:r>
      <w:r w:rsidRPr="005206CA">
        <w:t xml:space="preserve"> </w:t>
      </w:r>
    </w:p>
    <w:p w14:paraId="7A7E1A1C" w14:textId="27918AAA" w:rsidR="00C94351" w:rsidRPr="005206CA" w:rsidRDefault="003002AD" w:rsidP="00AC7279">
      <w:pPr>
        <w:ind w:left="284"/>
      </w:pPr>
      <w:r w:rsidRPr="00AC7279">
        <w:rPr>
          <w:i/>
        </w:rPr>
        <w:t>a point of reference for people wanting to buy land that has a sequestration offsets project on it so they can factor into the sale price the potential costs and benefits of the project</w:t>
      </w:r>
      <w:r w:rsidRPr="005206CA">
        <w:t xml:space="preserve"> (</w:t>
      </w:r>
      <w:r w:rsidRPr="00AC7279">
        <w:rPr>
          <w:rStyle w:val="In-textChar"/>
        </w:rPr>
        <w:t xml:space="preserve">CER </w:t>
      </w:r>
      <w:r w:rsidR="000029DF" w:rsidRPr="00AC7279">
        <w:rPr>
          <w:rStyle w:val="In-textChar"/>
        </w:rPr>
        <w:t>2017</w:t>
      </w:r>
      <w:r w:rsidR="0094547E" w:rsidRPr="00AC7279">
        <w:rPr>
          <w:rStyle w:val="In-textChar"/>
        </w:rPr>
        <w:t>n</w:t>
      </w:r>
      <w:r w:rsidRPr="005206CA">
        <w:t xml:space="preserve">). </w:t>
      </w:r>
    </w:p>
    <w:p w14:paraId="41BCFB84" w14:textId="52BC8B46" w:rsidR="003002AD" w:rsidRPr="005206CA" w:rsidRDefault="003002AD" w:rsidP="003002AD">
      <w:r w:rsidRPr="005206CA">
        <w:t xml:space="preserve">It provides information about the location of the project, the permanence period and if a </w:t>
      </w:r>
      <w:r w:rsidR="00994ED8" w:rsidRPr="005206CA">
        <w:t>CMO</w:t>
      </w:r>
      <w:r w:rsidRPr="005206CA">
        <w:t xml:space="preserve"> has been imposed. However, a scheme participant can request for the project area to be omitted from the project register on the grounds that it would prejudice commercial interests. In that case, potential buyers cannot use the project register to discover whether any permanence obligations have been imposed on the land. </w:t>
      </w:r>
    </w:p>
    <w:p w14:paraId="0A09D7D7" w14:textId="0A7346A1" w:rsidR="00960CA3" w:rsidRPr="005206CA" w:rsidRDefault="00E14A19" w:rsidP="00960CA3">
      <w:pPr>
        <w:rPr>
          <w:rFonts w:cs="Arial"/>
        </w:rPr>
      </w:pPr>
      <w:r w:rsidRPr="005206CA">
        <w:t>T</w:t>
      </w:r>
      <w:r w:rsidR="006D79FA" w:rsidRPr="005206CA">
        <w:t>wo</w:t>
      </w:r>
      <w:r w:rsidR="003002AD" w:rsidRPr="005206CA">
        <w:t xml:space="preserve"> per cent of all registered area based projects have requested confidentiality of the project area</w:t>
      </w:r>
      <w:r w:rsidR="00FB12DB" w:rsidRPr="005206CA">
        <w:t>. T</w:t>
      </w:r>
      <w:r w:rsidR="003002AD" w:rsidRPr="005206CA">
        <w:t xml:space="preserve">he Authority is of the view that the public interest in publishing project areas outweighs the commercial interests of a small number of </w:t>
      </w:r>
      <w:r w:rsidR="003002AD" w:rsidRPr="005206CA">
        <w:rPr>
          <w:rFonts w:cs="Arial"/>
        </w:rPr>
        <w:t>firms</w:t>
      </w:r>
      <w:r w:rsidR="009D136D">
        <w:rPr>
          <w:rFonts w:cs="Arial"/>
        </w:rPr>
        <w:t xml:space="preserve"> or individuals</w:t>
      </w:r>
      <w:r w:rsidR="003002AD" w:rsidRPr="005206CA">
        <w:rPr>
          <w:rFonts w:cs="Arial"/>
        </w:rPr>
        <w:t xml:space="preserve">. </w:t>
      </w:r>
    </w:p>
    <w:tbl>
      <w:tblPr>
        <w:tblStyle w:val="TableGrid"/>
        <w:tblW w:w="0" w:type="auto"/>
        <w:shd w:val="clear" w:color="auto" w:fill="E6ECF2"/>
        <w:tblLook w:val="04A0" w:firstRow="1" w:lastRow="0" w:firstColumn="1" w:lastColumn="0" w:noHBand="0" w:noVBand="1"/>
      </w:tblPr>
      <w:tblGrid>
        <w:gridCol w:w="9202"/>
      </w:tblGrid>
      <w:tr w:rsidR="00960CA3" w:rsidRPr="005206CA" w14:paraId="04D35AA1" w14:textId="77777777" w:rsidTr="00960CA3">
        <w:trPr>
          <w:cnfStyle w:val="100000000000" w:firstRow="1" w:lastRow="0" w:firstColumn="0" w:lastColumn="0" w:oddVBand="0" w:evenVBand="0" w:oddHBand="0" w:evenHBand="0" w:firstRowFirstColumn="0" w:firstRowLastColumn="0" w:lastRowFirstColumn="0" w:lastRowLastColumn="0"/>
          <w:trHeight w:val="1415"/>
        </w:trPr>
        <w:tc>
          <w:tcPr>
            <w:tcW w:w="9202" w:type="dxa"/>
            <w:shd w:val="clear" w:color="auto" w:fill="E6ECF2"/>
            <w:tcMar>
              <w:top w:w="567" w:type="dxa"/>
              <w:left w:w="567" w:type="dxa"/>
              <w:bottom w:w="567" w:type="dxa"/>
              <w:right w:w="567" w:type="dxa"/>
            </w:tcMar>
          </w:tcPr>
          <w:p w14:paraId="36AA0143" w14:textId="77777777" w:rsidR="00960CA3" w:rsidRPr="005206CA" w:rsidRDefault="00960CA3" w:rsidP="00C327F1">
            <w:pPr>
              <w:rPr>
                <w:b/>
                <w:color w:val="159DCE"/>
                <w:sz w:val="18"/>
                <w:szCs w:val="18"/>
              </w:rPr>
            </w:pPr>
            <w:r w:rsidRPr="005206CA">
              <w:rPr>
                <w:b/>
                <w:color w:val="159DCE"/>
                <w:sz w:val="18"/>
                <w:szCs w:val="18"/>
              </w:rPr>
              <w:t>RECOMMENDATION</w:t>
            </w:r>
          </w:p>
          <w:p w14:paraId="32FF3CFC" w14:textId="08188A56" w:rsidR="00960CA3" w:rsidRPr="005206CA" w:rsidRDefault="00960CA3" w:rsidP="00965C0E">
            <w:pPr>
              <w:spacing w:after="140" w:line="320" w:lineRule="exact"/>
              <w:ind w:left="851" w:hanging="851"/>
              <w:rPr>
                <w:sz w:val="18"/>
                <w:szCs w:val="18"/>
              </w:rPr>
            </w:pPr>
            <w:bookmarkStart w:id="767" w:name="_Ref497827642"/>
            <w:bookmarkStart w:id="768" w:name="_Toc497827436"/>
            <w:bookmarkStart w:id="769" w:name="_Toc497834072"/>
            <w:bookmarkStart w:id="770" w:name="_Toc498534521"/>
            <w:bookmarkStart w:id="771" w:name="_Toc498614716"/>
            <w:bookmarkStart w:id="772" w:name="_Toc498691471"/>
            <w:bookmarkStart w:id="773" w:name="_Toc499051670"/>
            <w:bookmarkStart w:id="774" w:name="_Toc499202055"/>
            <w:bookmarkStart w:id="775" w:name="_Toc499892338"/>
            <w:bookmarkStart w:id="776" w:name="_Toc499898699"/>
            <w:bookmarkStart w:id="777" w:name="_Toc499899339"/>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9</w:t>
            </w:r>
            <w:r w:rsidRPr="005206CA">
              <w:rPr>
                <w:rFonts w:cs="Arial"/>
                <w:sz w:val="18"/>
              </w:rPr>
              <w:fldChar w:fldCharType="end"/>
            </w:r>
            <w:bookmarkEnd w:id="767"/>
            <w:r w:rsidRPr="005206CA">
              <w:rPr>
                <w:rFonts w:cs="Arial"/>
                <w:sz w:val="18"/>
              </w:rPr>
              <w:t xml:space="preserve">. </w:t>
            </w:r>
            <w:r w:rsidRPr="005206CA">
              <w:rPr>
                <w:rFonts w:cs="Arial"/>
                <w:sz w:val="18"/>
              </w:rPr>
              <w:tab/>
            </w:r>
            <w:bookmarkStart w:id="778" w:name="_Ref500236827"/>
            <w:r w:rsidRPr="005206CA">
              <w:rPr>
                <w:sz w:val="18"/>
                <w:szCs w:val="18"/>
              </w:rPr>
              <w:t xml:space="preserve">The </w:t>
            </w:r>
            <w:r w:rsidRPr="005206CA">
              <w:rPr>
                <w:i/>
                <w:sz w:val="18"/>
                <w:szCs w:val="18"/>
              </w:rPr>
              <w:t>C</w:t>
            </w:r>
            <w:r w:rsidR="00402F51" w:rsidRPr="005206CA">
              <w:rPr>
                <w:i/>
                <w:sz w:val="18"/>
                <w:szCs w:val="18"/>
              </w:rPr>
              <w:t xml:space="preserve">arbon Credits (Carbon </w:t>
            </w:r>
            <w:r w:rsidRPr="005206CA">
              <w:rPr>
                <w:i/>
                <w:sz w:val="18"/>
                <w:szCs w:val="18"/>
              </w:rPr>
              <w:t>F</w:t>
            </w:r>
            <w:r w:rsidR="00402F51" w:rsidRPr="005206CA">
              <w:rPr>
                <w:i/>
                <w:sz w:val="18"/>
                <w:szCs w:val="18"/>
              </w:rPr>
              <w:t>arming Initiative)</w:t>
            </w:r>
            <w:r w:rsidRPr="005206CA">
              <w:rPr>
                <w:i/>
                <w:sz w:val="18"/>
                <w:szCs w:val="18"/>
              </w:rPr>
              <w:t xml:space="preserve"> Act</w:t>
            </w:r>
            <w:r w:rsidR="00402F51" w:rsidRPr="005206CA">
              <w:rPr>
                <w:i/>
                <w:sz w:val="18"/>
                <w:szCs w:val="18"/>
              </w:rPr>
              <w:t xml:space="preserve"> 2011</w:t>
            </w:r>
            <w:r w:rsidR="00402F51" w:rsidRPr="005206CA">
              <w:rPr>
                <w:sz w:val="18"/>
                <w:szCs w:val="18"/>
              </w:rPr>
              <w:t xml:space="preserve"> (Cth)</w:t>
            </w:r>
            <w:r w:rsidRPr="005206CA">
              <w:rPr>
                <w:sz w:val="18"/>
                <w:szCs w:val="18"/>
              </w:rPr>
              <w:t xml:space="preserve"> be amended to remove the ability for a scheme participant to request that the project area be omitted from the project register</w:t>
            </w:r>
            <w:r w:rsidR="00C97AE3" w:rsidRPr="005206CA">
              <w:rPr>
                <w:sz w:val="18"/>
                <w:szCs w:val="18"/>
              </w:rPr>
              <w:t xml:space="preserve"> for new projects</w:t>
            </w:r>
            <w:r w:rsidRPr="005206CA">
              <w:rPr>
                <w:sz w:val="18"/>
                <w:szCs w:val="18"/>
              </w:rPr>
              <w:t>.</w:t>
            </w:r>
            <w:bookmarkEnd w:id="768"/>
            <w:bookmarkEnd w:id="769"/>
            <w:bookmarkEnd w:id="770"/>
            <w:bookmarkEnd w:id="771"/>
            <w:bookmarkEnd w:id="772"/>
            <w:bookmarkEnd w:id="773"/>
            <w:bookmarkEnd w:id="774"/>
            <w:bookmarkEnd w:id="775"/>
            <w:bookmarkEnd w:id="776"/>
            <w:bookmarkEnd w:id="777"/>
            <w:bookmarkEnd w:id="778"/>
          </w:p>
        </w:tc>
      </w:tr>
    </w:tbl>
    <w:p w14:paraId="15E978E1" w14:textId="77777777" w:rsidR="007E0199" w:rsidRDefault="007E0199" w:rsidP="00960CA3">
      <w:pPr>
        <w:spacing w:before="120"/>
        <w:rPr>
          <w:rFonts w:cs="Arial"/>
        </w:rPr>
      </w:pPr>
    </w:p>
    <w:p w14:paraId="3B48861D" w14:textId="1581578E" w:rsidR="00960CA3" w:rsidRPr="005206CA" w:rsidRDefault="003002AD" w:rsidP="00960CA3">
      <w:pPr>
        <w:spacing w:before="120"/>
        <w:rPr>
          <w:rFonts w:cs="Arial"/>
        </w:rPr>
      </w:pPr>
      <w:r w:rsidRPr="005206CA">
        <w:rPr>
          <w:rFonts w:cs="Arial"/>
        </w:rPr>
        <w:t xml:space="preserve">The </w:t>
      </w:r>
      <w:r w:rsidRPr="005206CA">
        <w:t>CER has a project map</w:t>
      </w:r>
      <w:r w:rsidR="00E357BC" w:rsidRPr="005206CA">
        <w:t xml:space="preserve"> </w:t>
      </w:r>
      <w:r w:rsidRPr="005206CA">
        <w:t xml:space="preserve">which shows the geographic location of registered projects. </w:t>
      </w:r>
      <w:r w:rsidR="003C15F5" w:rsidRPr="005206CA">
        <w:t xml:space="preserve">It is possible to find the location of individual properties if stakeholders download the project mapping files, which requires some IT skill. If </w:t>
      </w:r>
      <w:r w:rsidRPr="005206CA">
        <w:t xml:space="preserve">the map or registry could be searched </w:t>
      </w:r>
      <w:r w:rsidR="003C15F5" w:rsidRPr="005206CA">
        <w:t xml:space="preserve">more quickly </w:t>
      </w:r>
      <w:r w:rsidRPr="005206CA">
        <w:t>by address</w:t>
      </w:r>
      <w:r w:rsidR="00B80468" w:rsidRPr="005206CA">
        <w:t xml:space="preserve">, </w:t>
      </w:r>
      <w:r w:rsidRPr="005206CA">
        <w:t xml:space="preserve">potential buyers </w:t>
      </w:r>
      <w:r w:rsidR="00B80468" w:rsidRPr="005206CA">
        <w:t xml:space="preserve">may find it easier to </w:t>
      </w:r>
      <w:r w:rsidRPr="005206CA">
        <w:t xml:space="preserve">discover whether any permanence obligations are imposed on the land they </w:t>
      </w:r>
      <w:r w:rsidR="00B80468" w:rsidRPr="005206CA">
        <w:t>wish to buy</w:t>
      </w:r>
      <w:r w:rsidRPr="005206CA">
        <w:t xml:space="preserve">. A user-friendly search function could also be used by eligible interest holders to discover if there are any projects that may affect their interests (Section </w:t>
      </w:r>
      <w:r w:rsidR="00E82831" w:rsidRPr="005206CA">
        <w:fldChar w:fldCharType="begin"/>
      </w:r>
      <w:r w:rsidR="00E82831" w:rsidRPr="005206CA">
        <w:instrText xml:space="preserve"> REF _Ref500246958 \n \h </w:instrText>
      </w:r>
      <w:r w:rsidR="005206CA">
        <w:instrText xml:space="preserve"> \* MERGEFORMAT </w:instrText>
      </w:r>
      <w:r w:rsidR="00E82831" w:rsidRPr="005206CA">
        <w:fldChar w:fldCharType="separate"/>
      </w:r>
      <w:r w:rsidR="00FA2002">
        <w:t>8.3</w:t>
      </w:r>
      <w:r w:rsidR="00E82831" w:rsidRPr="005206CA">
        <w:fldChar w:fldCharType="end"/>
      </w:r>
      <w:r w:rsidRPr="005206CA">
        <w:rPr>
          <w:rFonts w:cs="Arial"/>
        </w:rPr>
        <w:t xml:space="preserve">). </w:t>
      </w:r>
    </w:p>
    <w:tbl>
      <w:tblPr>
        <w:tblStyle w:val="TableGrid"/>
        <w:tblW w:w="0" w:type="auto"/>
        <w:shd w:val="clear" w:color="auto" w:fill="E6ECF2"/>
        <w:tblLook w:val="04A0" w:firstRow="1" w:lastRow="0" w:firstColumn="1" w:lastColumn="0" w:noHBand="0" w:noVBand="1"/>
      </w:tblPr>
      <w:tblGrid>
        <w:gridCol w:w="9202"/>
      </w:tblGrid>
      <w:tr w:rsidR="00960CA3" w:rsidRPr="005206CA" w14:paraId="2C6E71D5" w14:textId="77777777" w:rsidTr="00C327F1">
        <w:trPr>
          <w:cnfStyle w:val="100000000000" w:firstRow="1" w:lastRow="0" w:firstColumn="0" w:lastColumn="0" w:oddVBand="0" w:evenVBand="0" w:oddHBand="0" w:evenHBand="0" w:firstRowFirstColumn="0" w:firstRowLastColumn="0" w:lastRowFirstColumn="0" w:lastRowLastColumn="0"/>
          <w:trHeight w:val="1415"/>
        </w:trPr>
        <w:tc>
          <w:tcPr>
            <w:tcW w:w="9202" w:type="dxa"/>
            <w:shd w:val="clear" w:color="auto" w:fill="E6ECF2"/>
            <w:tcMar>
              <w:top w:w="567" w:type="dxa"/>
              <w:left w:w="567" w:type="dxa"/>
              <w:bottom w:w="567" w:type="dxa"/>
              <w:right w:w="567" w:type="dxa"/>
            </w:tcMar>
          </w:tcPr>
          <w:p w14:paraId="684DE624" w14:textId="77777777" w:rsidR="00960CA3" w:rsidRPr="005206CA" w:rsidRDefault="00960CA3" w:rsidP="00C327F1">
            <w:pPr>
              <w:rPr>
                <w:b/>
                <w:color w:val="159DCE"/>
                <w:sz w:val="18"/>
                <w:szCs w:val="18"/>
              </w:rPr>
            </w:pPr>
            <w:r w:rsidRPr="005206CA">
              <w:rPr>
                <w:b/>
                <w:color w:val="159DCE"/>
                <w:sz w:val="18"/>
                <w:szCs w:val="18"/>
              </w:rPr>
              <w:t>RECOMMENDATION</w:t>
            </w:r>
          </w:p>
          <w:p w14:paraId="0F82EA98" w14:textId="3F0588A7" w:rsidR="00960CA3" w:rsidRPr="005206CA" w:rsidRDefault="00960CA3" w:rsidP="004C2BA8">
            <w:pPr>
              <w:spacing w:after="140" w:line="320" w:lineRule="exact"/>
              <w:ind w:left="851" w:hanging="851"/>
              <w:rPr>
                <w:sz w:val="18"/>
                <w:szCs w:val="18"/>
              </w:rPr>
            </w:pPr>
            <w:bookmarkStart w:id="779" w:name="_Ref497827646"/>
            <w:bookmarkStart w:id="780" w:name="_Toc497827437"/>
            <w:bookmarkStart w:id="781" w:name="_Toc497834073"/>
            <w:bookmarkStart w:id="782" w:name="_Toc498534522"/>
            <w:bookmarkStart w:id="783" w:name="_Toc498614717"/>
            <w:bookmarkStart w:id="784" w:name="_Toc498691472"/>
            <w:bookmarkStart w:id="785" w:name="_Toc499051671"/>
            <w:bookmarkStart w:id="786" w:name="_Toc499202056"/>
            <w:bookmarkStart w:id="787" w:name="_Toc499892339"/>
            <w:bookmarkStart w:id="788" w:name="_Toc499898700"/>
            <w:bookmarkStart w:id="789" w:name="_Toc499899340"/>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10</w:t>
            </w:r>
            <w:r w:rsidRPr="005206CA">
              <w:rPr>
                <w:rFonts w:cs="Arial"/>
                <w:sz w:val="18"/>
              </w:rPr>
              <w:fldChar w:fldCharType="end"/>
            </w:r>
            <w:bookmarkEnd w:id="779"/>
            <w:r w:rsidRPr="005206CA">
              <w:rPr>
                <w:rFonts w:cs="Arial"/>
                <w:sz w:val="18"/>
              </w:rPr>
              <w:t xml:space="preserve">. </w:t>
            </w:r>
            <w:r w:rsidRPr="005206CA">
              <w:rPr>
                <w:rFonts w:cs="Arial"/>
                <w:sz w:val="18"/>
              </w:rPr>
              <w:tab/>
            </w:r>
            <w:bookmarkStart w:id="790" w:name="_Ref500236830"/>
            <w:r w:rsidRPr="005206CA">
              <w:rPr>
                <w:sz w:val="18"/>
                <w:szCs w:val="18"/>
              </w:rPr>
              <w:t>The C</w:t>
            </w:r>
            <w:r w:rsidR="00402F51" w:rsidRPr="005206CA">
              <w:rPr>
                <w:sz w:val="18"/>
                <w:szCs w:val="18"/>
              </w:rPr>
              <w:t xml:space="preserve">lean </w:t>
            </w:r>
            <w:r w:rsidRPr="005206CA">
              <w:rPr>
                <w:sz w:val="18"/>
                <w:szCs w:val="18"/>
              </w:rPr>
              <w:t>E</w:t>
            </w:r>
            <w:r w:rsidR="00402F51" w:rsidRPr="005206CA">
              <w:rPr>
                <w:sz w:val="18"/>
                <w:szCs w:val="18"/>
              </w:rPr>
              <w:t xml:space="preserve">nergy </w:t>
            </w:r>
            <w:r w:rsidRPr="005206CA">
              <w:rPr>
                <w:sz w:val="18"/>
                <w:szCs w:val="18"/>
              </w:rPr>
              <w:t>R</w:t>
            </w:r>
            <w:r w:rsidR="00402F51" w:rsidRPr="005206CA">
              <w:rPr>
                <w:sz w:val="18"/>
                <w:szCs w:val="18"/>
              </w:rPr>
              <w:t>egulator</w:t>
            </w:r>
            <w:r w:rsidRPr="005206CA">
              <w:rPr>
                <w:sz w:val="18"/>
                <w:szCs w:val="18"/>
              </w:rPr>
              <w:t xml:space="preserve"> include on their website a search function </w:t>
            </w:r>
            <w:r w:rsidR="004C2BA8" w:rsidRPr="005206CA">
              <w:rPr>
                <w:sz w:val="18"/>
                <w:szCs w:val="18"/>
              </w:rPr>
              <w:t xml:space="preserve">that allows </w:t>
            </w:r>
            <w:r w:rsidRPr="005206CA">
              <w:rPr>
                <w:sz w:val="18"/>
                <w:szCs w:val="18"/>
              </w:rPr>
              <w:t>potential land buyers or other eligible interest holders</w:t>
            </w:r>
            <w:r w:rsidR="004C2BA8" w:rsidRPr="005206CA">
              <w:rPr>
                <w:sz w:val="18"/>
                <w:szCs w:val="18"/>
              </w:rPr>
              <w:t xml:space="preserve"> to search for individual properties and determine </w:t>
            </w:r>
            <w:r w:rsidRPr="005206CA">
              <w:rPr>
                <w:sz w:val="18"/>
                <w:szCs w:val="18"/>
              </w:rPr>
              <w:t xml:space="preserve">if the land </w:t>
            </w:r>
            <w:r w:rsidR="004C2BA8" w:rsidRPr="005206CA">
              <w:rPr>
                <w:sz w:val="18"/>
                <w:szCs w:val="18"/>
              </w:rPr>
              <w:t xml:space="preserve">is subject to </w:t>
            </w:r>
            <w:r w:rsidRPr="005206CA">
              <w:rPr>
                <w:sz w:val="18"/>
                <w:szCs w:val="18"/>
              </w:rPr>
              <w:t>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F</w:t>
            </w:r>
            <w:r w:rsidR="00402F51" w:rsidRPr="005206CA">
              <w:rPr>
                <w:sz w:val="18"/>
                <w:szCs w:val="18"/>
              </w:rPr>
              <w:t>und</w:t>
            </w:r>
            <w:r w:rsidRPr="005206CA">
              <w:rPr>
                <w:sz w:val="18"/>
                <w:szCs w:val="18"/>
              </w:rPr>
              <w:t xml:space="preserve"> permanence obligations.</w:t>
            </w:r>
            <w:bookmarkEnd w:id="780"/>
            <w:bookmarkEnd w:id="781"/>
            <w:bookmarkEnd w:id="782"/>
            <w:bookmarkEnd w:id="783"/>
            <w:bookmarkEnd w:id="784"/>
            <w:bookmarkEnd w:id="785"/>
            <w:bookmarkEnd w:id="786"/>
            <w:bookmarkEnd w:id="787"/>
            <w:bookmarkEnd w:id="788"/>
            <w:bookmarkEnd w:id="789"/>
            <w:bookmarkEnd w:id="790"/>
          </w:p>
        </w:tc>
      </w:tr>
    </w:tbl>
    <w:p w14:paraId="475DBEB2" w14:textId="77777777" w:rsidR="007E0199" w:rsidRDefault="007E0199" w:rsidP="00960CA3">
      <w:pPr>
        <w:spacing w:before="120"/>
        <w:rPr>
          <w:rFonts w:cs="Arial"/>
        </w:rPr>
      </w:pPr>
    </w:p>
    <w:p w14:paraId="2411BD17" w14:textId="77777777" w:rsidR="00960CA3" w:rsidRPr="005206CA" w:rsidRDefault="003002AD" w:rsidP="00960CA3">
      <w:pPr>
        <w:spacing w:before="120"/>
        <w:rPr>
          <w:rFonts w:cs="Arial"/>
        </w:rPr>
      </w:pPr>
      <w:r w:rsidRPr="005206CA">
        <w:rPr>
          <w:rFonts w:cs="Arial"/>
        </w:rPr>
        <w:t xml:space="preserve">Land </w:t>
      </w:r>
      <w:r w:rsidRPr="005206CA">
        <w:t xml:space="preserve">titles are kept by the state and territory governments and record any restrictions, which have been imposed on the use of the land. The CFI Act allows permanence obligations to be recorded on land titles, however it does not impose an obligation to do so. Further, the Australian Government is unable to impose this obligation on states and territories as land use is a state responsibility. While the CER informs the state and territory land titles offices of permanence obligations, it is unclear if these are recorded on land titles. The Authority therefore sees value in other ways to provide information about permanence obligations to potential </w:t>
      </w:r>
      <w:r w:rsidR="00960CA3" w:rsidRPr="005206CA">
        <w:rPr>
          <w:rFonts w:cs="Arial"/>
        </w:rPr>
        <w:t xml:space="preserve">purchasers. </w:t>
      </w:r>
      <w:r w:rsidR="00AB3A56" w:rsidRPr="005206CA">
        <w:rPr>
          <w:rFonts w:cs="Arial"/>
        </w:rPr>
        <w:t xml:space="preserve">For example, by developing guidance for conveyancers and state and territory legal societies on the need to search for permanence obligations and explain their implications to potential buyers. </w:t>
      </w:r>
    </w:p>
    <w:tbl>
      <w:tblPr>
        <w:tblStyle w:val="TableGrid"/>
        <w:tblW w:w="0" w:type="auto"/>
        <w:shd w:val="clear" w:color="auto" w:fill="E6ECF2"/>
        <w:tblLook w:val="04A0" w:firstRow="1" w:lastRow="0" w:firstColumn="1" w:lastColumn="0" w:noHBand="0" w:noVBand="1"/>
      </w:tblPr>
      <w:tblGrid>
        <w:gridCol w:w="9202"/>
      </w:tblGrid>
      <w:tr w:rsidR="00960CA3" w:rsidRPr="005206CA" w14:paraId="38D9BD84" w14:textId="77777777" w:rsidTr="00C327F1">
        <w:trPr>
          <w:cnfStyle w:val="100000000000" w:firstRow="1" w:lastRow="0" w:firstColumn="0" w:lastColumn="0" w:oddVBand="0" w:evenVBand="0" w:oddHBand="0" w:evenHBand="0" w:firstRowFirstColumn="0" w:firstRowLastColumn="0" w:lastRowFirstColumn="0" w:lastRowLastColumn="0"/>
          <w:trHeight w:val="1415"/>
        </w:trPr>
        <w:tc>
          <w:tcPr>
            <w:tcW w:w="9202" w:type="dxa"/>
            <w:shd w:val="clear" w:color="auto" w:fill="E6ECF2"/>
            <w:tcMar>
              <w:top w:w="567" w:type="dxa"/>
              <w:left w:w="567" w:type="dxa"/>
              <w:bottom w:w="567" w:type="dxa"/>
              <w:right w:w="567" w:type="dxa"/>
            </w:tcMar>
          </w:tcPr>
          <w:p w14:paraId="578FE47C" w14:textId="77777777" w:rsidR="00960CA3" w:rsidRPr="005206CA" w:rsidRDefault="00960CA3" w:rsidP="00C327F1">
            <w:pPr>
              <w:rPr>
                <w:b/>
                <w:color w:val="159DCE"/>
                <w:sz w:val="18"/>
                <w:szCs w:val="18"/>
              </w:rPr>
            </w:pPr>
            <w:r w:rsidRPr="005206CA">
              <w:rPr>
                <w:b/>
                <w:color w:val="159DCE"/>
                <w:sz w:val="18"/>
                <w:szCs w:val="18"/>
              </w:rPr>
              <w:t>RECOMMENDATION</w:t>
            </w:r>
          </w:p>
          <w:p w14:paraId="463D4DAD" w14:textId="516E028F" w:rsidR="00960CA3" w:rsidRPr="005206CA" w:rsidRDefault="00960CA3" w:rsidP="00AB3A56">
            <w:pPr>
              <w:spacing w:after="140" w:line="320" w:lineRule="exact"/>
              <w:ind w:left="851" w:hanging="851"/>
              <w:rPr>
                <w:sz w:val="18"/>
                <w:szCs w:val="18"/>
              </w:rPr>
            </w:pPr>
            <w:bookmarkStart w:id="791" w:name="_Ref497827901"/>
            <w:bookmarkStart w:id="792" w:name="R11"/>
            <w:bookmarkStart w:id="793" w:name="_Toc497827438"/>
            <w:bookmarkStart w:id="794" w:name="_Toc497834074"/>
            <w:bookmarkStart w:id="795" w:name="_Toc498534523"/>
            <w:bookmarkStart w:id="796" w:name="_Toc498614718"/>
            <w:bookmarkStart w:id="797" w:name="_Toc498691473"/>
            <w:bookmarkStart w:id="798" w:name="_Toc499051672"/>
            <w:bookmarkStart w:id="799" w:name="_Toc499202057"/>
            <w:bookmarkStart w:id="800" w:name="_Toc499892340"/>
            <w:bookmarkStart w:id="801" w:name="_Toc499898701"/>
            <w:bookmarkStart w:id="802" w:name="_Toc499899341"/>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11</w:t>
            </w:r>
            <w:r w:rsidRPr="005206CA">
              <w:rPr>
                <w:rFonts w:cs="Arial"/>
                <w:sz w:val="18"/>
              </w:rPr>
              <w:fldChar w:fldCharType="end"/>
            </w:r>
            <w:bookmarkEnd w:id="791"/>
            <w:r w:rsidRPr="005206CA">
              <w:rPr>
                <w:rFonts w:cs="Arial"/>
                <w:sz w:val="18"/>
              </w:rPr>
              <w:t xml:space="preserve">. </w:t>
            </w:r>
            <w:bookmarkEnd w:id="792"/>
            <w:r w:rsidRPr="005206CA">
              <w:rPr>
                <w:rFonts w:cs="Arial"/>
                <w:sz w:val="18"/>
              </w:rPr>
              <w:tab/>
            </w:r>
            <w:bookmarkStart w:id="803" w:name="_Ref500236833"/>
            <w:r w:rsidRPr="005206CA">
              <w:rPr>
                <w:sz w:val="18"/>
                <w:szCs w:val="18"/>
              </w:rPr>
              <w:t>The C</w:t>
            </w:r>
            <w:r w:rsidR="00402F51" w:rsidRPr="005206CA">
              <w:rPr>
                <w:sz w:val="18"/>
                <w:szCs w:val="18"/>
              </w:rPr>
              <w:t xml:space="preserve">lean </w:t>
            </w:r>
            <w:r w:rsidRPr="005206CA">
              <w:rPr>
                <w:sz w:val="18"/>
                <w:szCs w:val="18"/>
              </w:rPr>
              <w:t>E</w:t>
            </w:r>
            <w:r w:rsidR="00402F51" w:rsidRPr="005206CA">
              <w:rPr>
                <w:sz w:val="18"/>
                <w:szCs w:val="18"/>
              </w:rPr>
              <w:t xml:space="preserve">nergy </w:t>
            </w:r>
            <w:r w:rsidRPr="005206CA">
              <w:rPr>
                <w:sz w:val="18"/>
                <w:szCs w:val="18"/>
              </w:rPr>
              <w:t>R</w:t>
            </w:r>
            <w:r w:rsidR="00402F51" w:rsidRPr="005206CA">
              <w:rPr>
                <w:sz w:val="18"/>
                <w:szCs w:val="18"/>
              </w:rPr>
              <w:t>egulator</w:t>
            </w:r>
            <w:r w:rsidRPr="005206CA">
              <w:rPr>
                <w:sz w:val="18"/>
                <w:szCs w:val="18"/>
              </w:rPr>
              <w:t xml:space="preserve"> develop guidance for conveyancers and state and territory legal societies on permanence obligations </w:t>
            </w:r>
            <w:r w:rsidR="00AB3A56" w:rsidRPr="005206CA">
              <w:rPr>
                <w:sz w:val="18"/>
                <w:szCs w:val="18"/>
              </w:rPr>
              <w:t>that run with the land</w:t>
            </w:r>
            <w:r w:rsidRPr="005206CA">
              <w:rPr>
                <w:sz w:val="18"/>
                <w:szCs w:val="18"/>
              </w:rPr>
              <w:t>.</w:t>
            </w:r>
            <w:bookmarkEnd w:id="793"/>
            <w:bookmarkEnd w:id="794"/>
            <w:bookmarkEnd w:id="795"/>
            <w:bookmarkEnd w:id="796"/>
            <w:bookmarkEnd w:id="797"/>
            <w:bookmarkEnd w:id="798"/>
            <w:bookmarkEnd w:id="799"/>
            <w:bookmarkEnd w:id="800"/>
            <w:bookmarkEnd w:id="801"/>
            <w:bookmarkEnd w:id="802"/>
            <w:bookmarkEnd w:id="803"/>
          </w:p>
        </w:tc>
      </w:tr>
    </w:tbl>
    <w:p w14:paraId="217265F7" w14:textId="77777777" w:rsidR="007E0199" w:rsidRDefault="007E0199" w:rsidP="00BF0516">
      <w:bookmarkStart w:id="804" w:name="_Toc494905130"/>
      <w:bookmarkStart w:id="805" w:name="_Toc497819480"/>
      <w:bookmarkStart w:id="806" w:name="_Toc498691547"/>
      <w:bookmarkStart w:id="807" w:name="_Toc499043728"/>
      <w:bookmarkStart w:id="808" w:name="_Toc499051753"/>
      <w:bookmarkStart w:id="809" w:name="_Toc500251103"/>
      <w:bookmarkStart w:id="810" w:name="_Toc500251378"/>
      <w:bookmarkStart w:id="811" w:name="_Toc500253975"/>
    </w:p>
    <w:p w14:paraId="1448385D" w14:textId="40B5A986" w:rsidR="003002AD" w:rsidRPr="005206CA" w:rsidRDefault="00517703">
      <w:pPr>
        <w:pStyle w:val="Heading2"/>
      </w:pPr>
      <w:bookmarkStart w:id="812" w:name="_Toc500401482"/>
      <w:bookmarkStart w:id="813" w:name="_Toc500490967"/>
      <w:bookmarkStart w:id="814" w:name="_Toc500512909"/>
      <w:bookmarkStart w:id="815" w:name="_Toc500514164"/>
      <w:bookmarkStart w:id="816" w:name="_Toc500516221"/>
      <w:r w:rsidRPr="005206CA">
        <w:t xml:space="preserve">The </w:t>
      </w:r>
      <w:r w:rsidR="003002AD" w:rsidRPr="005206CA">
        <w:t>implications of permanence obligations</w:t>
      </w:r>
      <w:bookmarkEnd w:id="804"/>
      <w:bookmarkEnd w:id="805"/>
      <w:bookmarkEnd w:id="806"/>
      <w:bookmarkEnd w:id="807"/>
      <w:bookmarkEnd w:id="808"/>
      <w:bookmarkEnd w:id="809"/>
      <w:bookmarkEnd w:id="810"/>
      <w:bookmarkEnd w:id="811"/>
      <w:bookmarkEnd w:id="812"/>
      <w:bookmarkEnd w:id="813"/>
      <w:bookmarkEnd w:id="814"/>
      <w:bookmarkEnd w:id="815"/>
      <w:bookmarkEnd w:id="816"/>
    </w:p>
    <w:p w14:paraId="31A6FF3C" w14:textId="1E08941E" w:rsidR="003002AD" w:rsidRPr="005206CA" w:rsidRDefault="003002AD" w:rsidP="003002AD">
      <w:r w:rsidRPr="005206CA">
        <w:t xml:space="preserve">For sequestration projects involving a </w:t>
      </w:r>
      <w:r w:rsidR="00AE0B04" w:rsidRPr="005206CA">
        <w:t>carbon service provider (</w:t>
      </w:r>
      <w:r w:rsidR="00994ED8" w:rsidRPr="005206CA">
        <w:t>CSP</w:t>
      </w:r>
      <w:r w:rsidR="00AE0B04" w:rsidRPr="005206CA">
        <w:t>)</w:t>
      </w:r>
      <w:r w:rsidRPr="005206CA">
        <w:t xml:space="preserve">, </w:t>
      </w:r>
      <w:r w:rsidR="00994ED8" w:rsidRPr="005206CA">
        <w:t>CMOs</w:t>
      </w:r>
      <w:r w:rsidRPr="005206CA">
        <w:t xml:space="preserve"> can be enforced against the landholder even where the scheme participant is the </w:t>
      </w:r>
      <w:r w:rsidR="00994ED8" w:rsidRPr="005206CA">
        <w:t>CSP</w:t>
      </w:r>
      <w:r w:rsidR="00756B86" w:rsidRPr="005206CA">
        <w:t xml:space="preserve"> (</w:t>
      </w:r>
      <w:r w:rsidR="00E82831" w:rsidRPr="005206CA">
        <w:rPr>
          <w:rStyle w:val="SectionChapterChar"/>
        </w:rPr>
        <w:fldChar w:fldCharType="begin"/>
      </w:r>
      <w:r w:rsidR="00E82831" w:rsidRPr="0033387E">
        <w:rPr>
          <w:rStyle w:val="SectionChapterChar"/>
        </w:rPr>
        <w:instrText xml:space="preserve"> REF _Ref500246984 \n \h </w:instrText>
      </w:r>
      <w:r w:rsidR="00E82831" w:rsidRP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Chapter 6</w:t>
      </w:r>
      <w:r w:rsidR="00E82831" w:rsidRPr="005206CA">
        <w:rPr>
          <w:rStyle w:val="SectionChapterChar"/>
        </w:rPr>
        <w:fldChar w:fldCharType="end"/>
      </w:r>
      <w:r w:rsidRPr="005206CA">
        <w:t>).</w:t>
      </w:r>
    </w:p>
    <w:p w14:paraId="6E9A6428" w14:textId="4A26F8D9" w:rsidR="003002AD" w:rsidRPr="005206CA" w:rsidRDefault="003002AD" w:rsidP="003002AD">
      <w:pPr>
        <w:rPr>
          <w:i/>
        </w:rPr>
      </w:pPr>
      <w:r w:rsidRPr="005206CA">
        <w:t>A landholder who participate</w:t>
      </w:r>
      <w:r w:rsidR="00756B86" w:rsidRPr="005206CA">
        <w:t>s in an aggregated project (</w:t>
      </w:r>
      <w:r w:rsidR="00B1182F">
        <w:t xml:space="preserve">Section </w:t>
      </w:r>
      <w:r w:rsidR="00B1182F">
        <w:rPr>
          <w:rStyle w:val="SectionChapterChar"/>
        </w:rPr>
        <w:fldChar w:fldCharType="begin"/>
      </w:r>
      <w:r w:rsidR="00B1182F">
        <w:instrText xml:space="preserve"> REF _Ref500331549 \n \h </w:instrText>
      </w:r>
      <w:r w:rsidR="00B1182F">
        <w:rPr>
          <w:rStyle w:val="SectionChapterChar"/>
        </w:rPr>
      </w:r>
      <w:r w:rsidR="00B1182F">
        <w:rPr>
          <w:rStyle w:val="SectionChapterChar"/>
        </w:rPr>
        <w:fldChar w:fldCharType="separate"/>
      </w:r>
      <w:r w:rsidR="00FA2002">
        <w:t>6.6</w:t>
      </w:r>
      <w:r w:rsidR="00B1182F">
        <w:rPr>
          <w:rStyle w:val="SectionChapterChar"/>
        </w:rPr>
        <w:fldChar w:fldCharType="end"/>
      </w:r>
      <w:r w:rsidRPr="005206CA">
        <w:t xml:space="preserve">) may be affected by another landholder’s failure to comply with maintaining carbon stores on their land, as the CER can impose a </w:t>
      </w:r>
      <w:r w:rsidR="00994ED8" w:rsidRPr="005206CA">
        <w:t xml:space="preserve">CMO </w:t>
      </w:r>
      <w:r w:rsidRPr="005206CA">
        <w:t xml:space="preserve">on all or part of a project area. Without oversight of the aggregation agreement, it is unclear how the CER could focus the non-compliance penalties on the participant who has failed to maintain carbon stores. </w:t>
      </w:r>
    </w:p>
    <w:p w14:paraId="340137AF" w14:textId="77777777" w:rsidR="003002AD" w:rsidRPr="005206CA" w:rsidRDefault="003002AD">
      <w:pPr>
        <w:pStyle w:val="Heading2"/>
      </w:pPr>
      <w:bookmarkStart w:id="817" w:name="_Toc494905131"/>
      <w:bookmarkStart w:id="818" w:name="_Toc497819481"/>
      <w:bookmarkStart w:id="819" w:name="_Toc498691548"/>
      <w:bookmarkStart w:id="820" w:name="_Toc499043729"/>
      <w:bookmarkStart w:id="821" w:name="_Toc499051754"/>
      <w:bookmarkStart w:id="822" w:name="_Toc500251104"/>
      <w:bookmarkStart w:id="823" w:name="_Toc500251379"/>
      <w:bookmarkStart w:id="824" w:name="_Toc500253976"/>
      <w:bookmarkStart w:id="825" w:name="_Toc500401483"/>
      <w:bookmarkStart w:id="826" w:name="_Toc500490968"/>
      <w:bookmarkStart w:id="827" w:name="_Toc500512910"/>
      <w:bookmarkStart w:id="828" w:name="_Toc500514165"/>
      <w:bookmarkStart w:id="829" w:name="_Toc500516222"/>
      <w:r w:rsidRPr="005206CA">
        <w:t>Is the risk of reversal buffer set at the correct level?</w:t>
      </w:r>
      <w:bookmarkEnd w:id="817"/>
      <w:bookmarkEnd w:id="818"/>
      <w:bookmarkEnd w:id="819"/>
      <w:bookmarkEnd w:id="820"/>
      <w:bookmarkEnd w:id="821"/>
      <w:bookmarkEnd w:id="822"/>
      <w:bookmarkEnd w:id="823"/>
      <w:bookmarkEnd w:id="824"/>
      <w:bookmarkEnd w:id="825"/>
      <w:bookmarkEnd w:id="826"/>
      <w:bookmarkEnd w:id="827"/>
      <w:bookmarkEnd w:id="828"/>
      <w:bookmarkEnd w:id="829"/>
    </w:p>
    <w:p w14:paraId="2DC216CF" w14:textId="54256E47" w:rsidR="003002AD" w:rsidRPr="005206CA" w:rsidRDefault="003002AD" w:rsidP="003002AD">
      <w:r w:rsidRPr="005206CA">
        <w:t xml:space="preserve">As well as the permanence obligation, sequestration projects are subject to a risk of reversal buffer. The risk of reversal buffer is intended to protect the ERF against temporary losses of carbon and residual risks that cannot be managed by the other permanence arrangements. </w:t>
      </w:r>
      <w:r w:rsidR="00703CF9" w:rsidRPr="005206CA">
        <w:t>To provide the risk of reversal buffer, a</w:t>
      </w:r>
      <w:r w:rsidRPr="005206CA">
        <w:t xml:space="preserve">ll sequestration projects are subject to a </w:t>
      </w:r>
      <w:r w:rsidR="0006626D">
        <w:t>5</w:t>
      </w:r>
      <w:r w:rsidR="0006626D" w:rsidRPr="005206CA">
        <w:t xml:space="preserve"> </w:t>
      </w:r>
      <w:r w:rsidRPr="005206CA">
        <w:t xml:space="preserve">per cent reduction in the number of ACCUs issued for the project, meaning that for every 100 tonnes of carbon dioxide stored by a project, the CER issues 95 ACCUs. </w:t>
      </w:r>
    </w:p>
    <w:p w14:paraId="09F1BBB3" w14:textId="2DFFD640" w:rsidR="003002AD" w:rsidRPr="005206CA" w:rsidRDefault="003002AD" w:rsidP="003002AD">
      <w:r w:rsidRPr="005206CA">
        <w:t xml:space="preserve">In its submission </w:t>
      </w:r>
      <w:r w:rsidR="007E5547" w:rsidRPr="005206CA">
        <w:t>on</w:t>
      </w:r>
      <w:r w:rsidRPr="005206CA">
        <w:t xml:space="preserve"> the </w:t>
      </w:r>
      <w:r w:rsidR="00662776" w:rsidRPr="005206CA">
        <w:t>2017 r</w:t>
      </w:r>
      <w:r w:rsidRPr="005206CA">
        <w:t xml:space="preserve">eview, CSIRO stated that the risk of reversal buffer may need to be reviewed to take into account increasing risk of natural disturbances, particularly if sequestration projects are geographically concentrated. Analysis of the project register shows that of the vegetation projects registered to date, </w:t>
      </w:r>
      <w:r w:rsidR="00E14A19" w:rsidRPr="005206CA">
        <w:t>75</w:t>
      </w:r>
      <w:r w:rsidRPr="005206CA">
        <w:t xml:space="preserve"> per cent are located in the Cobar Peneplain and Mulga Lands of south-west Queensland and western New South Wales</w:t>
      </w:r>
      <w:r w:rsidR="00C13CD8" w:rsidRPr="005206CA">
        <w:t xml:space="preserve"> (</w:t>
      </w:r>
      <w:r w:rsidR="00C13CD8" w:rsidRPr="005206CA">
        <w:rPr>
          <w:rStyle w:val="In-textChar"/>
        </w:rPr>
        <w:t xml:space="preserve">CER </w:t>
      </w:r>
      <w:r w:rsidR="000029DF" w:rsidRPr="005206CA">
        <w:rPr>
          <w:rStyle w:val="In-textChar"/>
        </w:rPr>
        <w:t>2017</w:t>
      </w:r>
      <w:r w:rsidR="0094547E" w:rsidRPr="005206CA">
        <w:rPr>
          <w:rStyle w:val="In-textChar"/>
        </w:rPr>
        <w:t>n</w:t>
      </w:r>
      <w:r w:rsidR="00C13CD8" w:rsidRPr="005206CA">
        <w:t>)</w:t>
      </w:r>
      <w:r w:rsidRPr="005206CA">
        <w:t xml:space="preserve">. </w:t>
      </w:r>
    </w:p>
    <w:p w14:paraId="19BA73DB" w14:textId="0047B503" w:rsidR="003002AD" w:rsidRPr="005206CA" w:rsidRDefault="003002AD" w:rsidP="003002AD">
      <w:r w:rsidRPr="005206CA">
        <w:t>When the risk of reversal buffer was implemented, it was envisaged that the buffer would be adjusted over time to reflect actual losses of carbon across the scheme</w:t>
      </w:r>
      <w:r w:rsidR="00C13CD8" w:rsidRPr="005206CA">
        <w:t xml:space="preserve"> (</w:t>
      </w:r>
      <w:r w:rsidR="00090D42" w:rsidRPr="005206CA">
        <w:t xml:space="preserve">Explanatory Memorandum, </w:t>
      </w:r>
      <w:r w:rsidR="00090D42" w:rsidRPr="00AC7279">
        <w:t>Carbon Farming Initiative Amendment Bill 2014</w:t>
      </w:r>
      <w:r w:rsidR="00090D42" w:rsidRPr="005206CA">
        <w:t xml:space="preserve"> (</w:t>
      </w:r>
      <w:r w:rsidR="00090D42" w:rsidRPr="005206CA">
        <w:rPr>
          <w:rStyle w:val="In-textChar"/>
        </w:rPr>
        <w:t>Cth</w:t>
      </w:r>
      <w:r w:rsidR="00090D42" w:rsidRPr="005206CA">
        <w:t>)</w:t>
      </w:r>
      <w:r w:rsidR="00C13CD8" w:rsidRPr="005206CA">
        <w:t>)</w:t>
      </w:r>
      <w:r w:rsidRPr="005206CA">
        <w:t xml:space="preserve">. To date, the CER has not been notified of any significant carbon losses but it is likely some will occur in the future. </w:t>
      </w:r>
    </w:p>
    <w:p w14:paraId="20FB6A62" w14:textId="6F5BDCB7" w:rsidR="006335CF" w:rsidRPr="005206CA" w:rsidRDefault="003002AD" w:rsidP="006335CF">
      <w:r w:rsidRPr="005206CA">
        <w:t xml:space="preserve">Submissions </w:t>
      </w:r>
      <w:r w:rsidR="00662776" w:rsidRPr="005206CA">
        <w:t>on</w:t>
      </w:r>
      <w:r w:rsidRPr="005206CA">
        <w:t xml:space="preserve"> the House of Representatives Committee inquiry into the</w:t>
      </w:r>
      <w:r w:rsidRPr="005206CA">
        <w:rPr>
          <w:i/>
        </w:rPr>
        <w:t xml:space="preserve"> </w:t>
      </w:r>
      <w:r w:rsidR="0011790A" w:rsidRPr="00AC7279">
        <w:t>Carbon Credits (</w:t>
      </w:r>
      <w:r w:rsidR="00475184" w:rsidRPr="00AC7279">
        <w:t>C</w:t>
      </w:r>
      <w:r w:rsidR="0011790A" w:rsidRPr="00AC7279">
        <w:t xml:space="preserve">arbon </w:t>
      </w:r>
      <w:r w:rsidR="00475184" w:rsidRPr="00AC7279">
        <w:t>F</w:t>
      </w:r>
      <w:r w:rsidR="0011790A" w:rsidRPr="00AC7279">
        <w:t xml:space="preserve">arming </w:t>
      </w:r>
      <w:r w:rsidR="00475184" w:rsidRPr="00AC7279">
        <w:t>I</w:t>
      </w:r>
      <w:r w:rsidR="0011790A" w:rsidRPr="00AC7279">
        <w:t>nitiative)</w:t>
      </w:r>
      <w:r w:rsidR="00475184" w:rsidRPr="00AC7279">
        <w:t xml:space="preserve"> Bill</w:t>
      </w:r>
      <w:r w:rsidR="0011790A" w:rsidRPr="005206CA">
        <w:t xml:space="preserve"> 2011</w:t>
      </w:r>
      <w:r w:rsidRPr="005206CA">
        <w:t xml:space="preserve"> </w:t>
      </w:r>
      <w:r w:rsidR="000E6CCB">
        <w:t>(</w:t>
      </w:r>
      <w:r w:rsidR="000E6CCB" w:rsidRPr="00AC7279">
        <w:rPr>
          <w:rStyle w:val="In-textChar"/>
        </w:rPr>
        <w:t>Cth</w:t>
      </w:r>
      <w:r w:rsidR="000E6CCB">
        <w:t>)</w:t>
      </w:r>
      <w:r w:rsidRPr="005206CA">
        <w:t xml:space="preserve"> offered differing views on the risk of reversal buffer based on their understandings of the current and future risks of carbon reversal, possibility of re</w:t>
      </w:r>
      <w:r w:rsidR="003801B5" w:rsidRPr="005206CA">
        <w:noBreakHyphen/>
      </w:r>
      <w:r w:rsidRPr="005206CA">
        <w:t>establishment and risk appetites. WWF stated that the size of the risk of reversal buffer is too low to protect against bush fires and the increased risk of carbon losses in future climates. Greenpeace stated that sequestration projects should be subject to a 50 per cent reduction in the number of ACCUs issued to reflect predicted reductions in rainfall and increased fire intensity and frequency making re-establishing lost carbon stores difficult or impossible. In contrast, Professor Andrew Macintosh</w:t>
      </w:r>
      <w:r w:rsidR="003C15F5" w:rsidRPr="005206CA">
        <w:t>,</w:t>
      </w:r>
      <w:r w:rsidRPr="005206CA">
        <w:t xml:space="preserve"> </w:t>
      </w:r>
      <w:r w:rsidR="003E2375" w:rsidRPr="005206CA">
        <w:t>(</w:t>
      </w:r>
      <w:r w:rsidRPr="005206CA">
        <w:t>Centre for Climate Law and Policy at the Australian National University</w:t>
      </w:r>
      <w:r w:rsidR="00475184" w:rsidRPr="005206CA">
        <w:t>)</w:t>
      </w:r>
      <w:r w:rsidRPr="005206CA">
        <w:t xml:space="preserve"> stated </w:t>
      </w:r>
      <w:r w:rsidR="007436A8" w:rsidRPr="005206CA">
        <w:t xml:space="preserve">in public hearings for the committee </w:t>
      </w:r>
      <w:r w:rsidRPr="005206CA">
        <w:t>that despite other offset schemes having larger risk of reversal buffers the size of the buffer is ‘fair and reasonable. in terms of the sorts of risks we are facing.’</w:t>
      </w:r>
      <w:r w:rsidRPr="005206CA">
        <w:rPr>
          <w:rStyle w:val="FootnoteReference"/>
        </w:rPr>
        <w:t xml:space="preserve"> </w:t>
      </w:r>
      <w:r w:rsidRPr="005206CA">
        <w:rPr>
          <w:rStyle w:val="FootnoteReference"/>
        </w:rPr>
        <w:footnoteReference w:id="8"/>
      </w:r>
      <w:r w:rsidRPr="005206CA">
        <w:t xml:space="preserve"> Given the geographic concentration of vegetation projects registered to date and the changing Australian climate, </w:t>
      </w:r>
      <w:r w:rsidR="00E921ED" w:rsidRPr="005206CA">
        <w:t xml:space="preserve">the Authority is of the view that </w:t>
      </w:r>
      <w:r w:rsidRPr="005206CA">
        <w:t>the risk of reversal buffer should be reviewed. To provide investment certainty, any adjustment of the risk of reversal buffer would only apply to new projects (</w:t>
      </w:r>
      <w:r w:rsidR="00090D42" w:rsidRPr="005206CA">
        <w:t xml:space="preserve">Explanatory Memorandum, </w:t>
      </w:r>
      <w:r w:rsidR="00090D42" w:rsidRPr="003D66FA">
        <w:t>Carbon Farming Initiative Amendment Bill</w:t>
      </w:r>
      <w:r w:rsidR="00090D42" w:rsidRPr="005206CA">
        <w:rPr>
          <w:i/>
        </w:rPr>
        <w:t xml:space="preserve"> </w:t>
      </w:r>
      <w:r w:rsidR="00090D42" w:rsidRPr="003D66FA">
        <w:t>2014</w:t>
      </w:r>
      <w:r w:rsidR="00090D42" w:rsidRPr="005206CA">
        <w:t xml:space="preserve"> (</w:t>
      </w:r>
      <w:r w:rsidR="00090D42" w:rsidRPr="005206CA">
        <w:rPr>
          <w:rStyle w:val="In-textChar"/>
        </w:rPr>
        <w:t>Cth</w:t>
      </w:r>
      <w:r w:rsidR="00090D42" w:rsidRPr="005206CA">
        <w:t>)</w:t>
      </w:r>
      <w:r w:rsidRPr="005206CA">
        <w:t>).</w:t>
      </w:r>
      <w:r w:rsidRPr="005206CA">
        <w:rPr>
          <w:rStyle w:val="FootnoteReference"/>
        </w:rPr>
        <w:footnoteReference w:id="9"/>
      </w:r>
      <w:r w:rsidR="006335CF" w:rsidRPr="005206CA">
        <w:t xml:space="preserve"> </w:t>
      </w:r>
    </w:p>
    <w:p w14:paraId="682CF290" w14:textId="77777777" w:rsidR="003002AD" w:rsidRPr="005206CA" w:rsidRDefault="003002AD">
      <w:pPr>
        <w:pStyle w:val="Heading2"/>
      </w:pPr>
      <w:bookmarkStart w:id="830" w:name="_Toc494905132"/>
      <w:bookmarkStart w:id="831" w:name="_Toc497819482"/>
      <w:bookmarkStart w:id="832" w:name="_Toc498691549"/>
      <w:bookmarkStart w:id="833" w:name="_Toc499043730"/>
      <w:bookmarkStart w:id="834" w:name="_Toc499051755"/>
      <w:bookmarkStart w:id="835" w:name="_Ref500246022"/>
      <w:bookmarkStart w:id="836" w:name="_Ref500246191"/>
      <w:bookmarkStart w:id="837" w:name="_Toc500251105"/>
      <w:bookmarkStart w:id="838" w:name="_Toc500251380"/>
      <w:bookmarkStart w:id="839" w:name="_Toc500253977"/>
      <w:bookmarkStart w:id="840" w:name="_Toc500401484"/>
      <w:bookmarkStart w:id="841" w:name="_Toc500490969"/>
      <w:bookmarkStart w:id="842" w:name="_Toc500512911"/>
      <w:bookmarkStart w:id="843" w:name="_Toc500514166"/>
      <w:bookmarkStart w:id="844" w:name="_Toc500516223"/>
      <w:r w:rsidRPr="005206CA">
        <w:t>Is the permanence period discount set at the correct level?</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1F626AA9" w14:textId="372C72EB" w:rsidR="00BC68BE" w:rsidRPr="005206CA" w:rsidRDefault="003002AD" w:rsidP="00BC68BE">
      <w:r w:rsidRPr="005206CA">
        <w:t>Projects with a 25 year permanence period are subject to a 20 per cent reduction in the number of ACCUs issued for the project unless a method speci</w:t>
      </w:r>
      <w:r w:rsidR="00756B86" w:rsidRPr="005206CA">
        <w:t>fies otherwise (</w:t>
      </w:r>
      <w:r w:rsidRPr="005206CA">
        <w:t xml:space="preserve">Box </w:t>
      </w:r>
      <w:r w:rsidR="006D79FA" w:rsidRPr="005206CA">
        <w:t>2</w:t>
      </w:r>
      <w:r w:rsidRPr="005206CA">
        <w:t>). This reduction aims to reflect the potential cost to Government of replacing carbon stores if these projects are discontinued (</w:t>
      </w:r>
      <w:r w:rsidRPr="005206CA">
        <w:rPr>
          <w:rStyle w:val="In-textChar"/>
        </w:rPr>
        <w:t>Australian Government 2014</w:t>
      </w:r>
      <w:r w:rsidRPr="005206CA">
        <w:t xml:space="preserve">). </w:t>
      </w:r>
    </w:p>
    <w:tbl>
      <w:tblPr>
        <w:tblStyle w:val="TableGrid"/>
        <w:tblW w:w="0" w:type="auto"/>
        <w:tblLook w:val="04A0" w:firstRow="1" w:lastRow="0" w:firstColumn="1" w:lastColumn="0" w:noHBand="0" w:noVBand="1"/>
      </w:tblPr>
      <w:tblGrid>
        <w:gridCol w:w="9202"/>
      </w:tblGrid>
      <w:tr w:rsidR="00BC68BE" w:rsidRPr="005206CA" w14:paraId="5050DA14" w14:textId="77777777" w:rsidTr="00C327F1">
        <w:trPr>
          <w:cnfStyle w:val="100000000000" w:firstRow="1" w:lastRow="0" w:firstColumn="0" w:lastColumn="0" w:oddVBand="0" w:evenVBand="0" w:oddHBand="0" w:evenHBand="0" w:firstRowFirstColumn="0" w:firstRowLastColumn="0" w:lastRowFirstColumn="0" w:lastRowLastColumn="0"/>
        </w:trPr>
        <w:tc>
          <w:tcPr>
            <w:tcW w:w="9202" w:type="dxa"/>
            <w:tcBorders>
              <w:top w:val="nil"/>
              <w:left w:val="nil"/>
              <w:bottom w:val="nil"/>
              <w:right w:val="nil"/>
            </w:tcBorders>
            <w:shd w:val="clear" w:color="auto" w:fill="E6ECF2"/>
            <w:tcMar>
              <w:top w:w="567" w:type="dxa"/>
              <w:left w:w="567" w:type="dxa"/>
              <w:bottom w:w="567" w:type="dxa"/>
              <w:right w:w="567" w:type="dxa"/>
            </w:tcMar>
          </w:tcPr>
          <w:p w14:paraId="1DA2A1E6" w14:textId="55DFE9B2" w:rsidR="00BC68BE" w:rsidRPr="005206CA" w:rsidRDefault="00BC68BE" w:rsidP="00C327F1">
            <w:pPr>
              <w:pStyle w:val="CCAFigure"/>
            </w:pPr>
            <w:bookmarkStart w:id="845" w:name="Box2"/>
            <w:bookmarkStart w:id="846" w:name="_Toc497819443"/>
            <w:bookmarkStart w:id="847" w:name="_Toc498691489"/>
            <w:bookmarkStart w:id="848" w:name="_Toc499051688"/>
            <w:bookmarkStart w:id="849" w:name="_Toc500251036"/>
            <w:bookmarkStart w:id="850" w:name="_Toc500251311"/>
            <w:bookmarkStart w:id="851" w:name="_Toc500253908"/>
            <w:bookmarkStart w:id="852" w:name="_Toc500490899"/>
            <w:bookmarkStart w:id="853" w:name="_Toc500513632"/>
            <w:bookmarkStart w:id="854" w:name="_Toc500516153"/>
            <w:r w:rsidRPr="005206CA">
              <w:t xml:space="preserve">Box </w:t>
            </w:r>
            <w:r w:rsidR="00FA2002">
              <w:fldChar w:fldCharType="begin"/>
            </w:r>
            <w:r w:rsidR="00FA2002">
              <w:instrText xml:space="preserve"> SEQ Box \* ARABIC </w:instrText>
            </w:r>
            <w:r w:rsidR="00FA2002">
              <w:fldChar w:fldCharType="separate"/>
            </w:r>
            <w:r w:rsidR="00FA2002">
              <w:rPr>
                <w:noProof/>
              </w:rPr>
              <w:t>2</w:t>
            </w:r>
            <w:r w:rsidR="00FA2002">
              <w:rPr>
                <w:noProof/>
              </w:rPr>
              <w:fldChar w:fldCharType="end"/>
            </w:r>
            <w:bookmarkEnd w:id="845"/>
            <w:r w:rsidRPr="005206CA">
              <w:t xml:space="preserve">: Permanence and the </w:t>
            </w:r>
            <w:r w:rsidR="00D9131C" w:rsidRPr="005206CA">
              <w:t xml:space="preserve">plantation </w:t>
            </w:r>
            <w:r w:rsidRPr="005206CA">
              <w:t>forestry method</w:t>
            </w:r>
            <w:bookmarkEnd w:id="846"/>
            <w:bookmarkEnd w:id="847"/>
            <w:bookmarkEnd w:id="848"/>
            <w:bookmarkEnd w:id="849"/>
            <w:bookmarkEnd w:id="850"/>
            <w:bookmarkEnd w:id="851"/>
            <w:bookmarkEnd w:id="852"/>
            <w:bookmarkEnd w:id="853"/>
            <w:bookmarkEnd w:id="854"/>
          </w:p>
          <w:p w14:paraId="0329B97E" w14:textId="322F4DBF" w:rsidR="00BC68BE" w:rsidRPr="005206CA" w:rsidRDefault="00BC68BE" w:rsidP="00BC68BE">
            <w:r w:rsidRPr="005206CA">
              <w:t xml:space="preserve">The plantation forestry method requires scheme participants to establish a plantation forest on land where there has not been a plantation forest for at least the last seven years or transition an existing plantation forest from short-rotation to long-rotation. </w:t>
            </w:r>
            <w:r w:rsidR="00040C83">
              <w:t xml:space="preserve">As of 1 December 2017, one project has </w:t>
            </w:r>
            <w:r w:rsidRPr="005206CA">
              <w:t>been registered under this method (</w:t>
            </w:r>
            <w:r w:rsidRPr="005206CA">
              <w:rPr>
                <w:rStyle w:val="In-textChar"/>
              </w:rPr>
              <w:t xml:space="preserve">CER </w:t>
            </w:r>
            <w:r w:rsidR="002C4061" w:rsidRPr="005206CA">
              <w:rPr>
                <w:rStyle w:val="In-textChar"/>
              </w:rPr>
              <w:t>2017</w:t>
            </w:r>
            <w:r w:rsidR="0094547E" w:rsidRPr="005206CA">
              <w:rPr>
                <w:rStyle w:val="In-textChar"/>
              </w:rPr>
              <w:t>n</w:t>
            </w:r>
            <w:r w:rsidRPr="005206CA">
              <w:t xml:space="preserve">). </w:t>
            </w:r>
          </w:p>
          <w:p w14:paraId="72BDCE71" w14:textId="7B58E9BB" w:rsidR="00BC68BE" w:rsidRPr="005206CA" w:rsidRDefault="00BC68BE" w:rsidP="00BC68BE">
            <w:r w:rsidRPr="005206CA">
              <w:t xml:space="preserve">The plantation forestry method is the first method that specifies a different </w:t>
            </w:r>
            <w:r w:rsidR="002C04B6" w:rsidRPr="005206CA">
              <w:t>permanence period discount from</w:t>
            </w:r>
            <w:r w:rsidRPr="005206CA">
              <w:t xml:space="preserve"> other sequestration projects. A permanence period discount of 25 per cent is applied to short-rotation plantation forestry projects that elect a 25 year permanence period. The E</w:t>
            </w:r>
            <w:r w:rsidR="00475184" w:rsidRPr="005206CA">
              <w:t xml:space="preserve">missions </w:t>
            </w:r>
            <w:r w:rsidRPr="005206CA">
              <w:t>R</w:t>
            </w:r>
            <w:r w:rsidR="00475184" w:rsidRPr="005206CA">
              <w:t xml:space="preserve">eduction </w:t>
            </w:r>
            <w:r w:rsidRPr="005206CA">
              <w:t>A</w:t>
            </w:r>
            <w:r w:rsidR="00475184" w:rsidRPr="005206CA">
              <w:t xml:space="preserve">ssurance </w:t>
            </w:r>
            <w:r w:rsidRPr="005206CA">
              <w:t>C</w:t>
            </w:r>
            <w:r w:rsidR="00475184" w:rsidRPr="005206CA">
              <w:t>ommittee (ERAC)</w:t>
            </w:r>
            <w:r w:rsidRPr="005206CA">
              <w:t xml:space="preserve"> </w:t>
            </w:r>
            <w:r w:rsidR="004756AA" w:rsidRPr="005206CA">
              <w:t xml:space="preserve">took the view </w:t>
            </w:r>
            <w:r w:rsidRPr="005206CA">
              <w:t xml:space="preserve">that the default permanence period discount of 20 per cent was not conservative for short-rotation plantation forestry projects given the historical trends in re-establishing plantations after harvesting. The 25 per cent permanence period discount addresses the risk of short-rotation plantation projects not being re-established post-harvest at the end of the 25 year permanence period. Like other sequestration projects, plantation forestry projects are also subject to the </w:t>
            </w:r>
            <w:r w:rsidR="002D7994" w:rsidRPr="005206CA">
              <w:t>five</w:t>
            </w:r>
            <w:r w:rsidRPr="005206CA">
              <w:t xml:space="preserve"> per cent risk of reversal buffer.</w:t>
            </w:r>
          </w:p>
          <w:p w14:paraId="76A5C3AE" w14:textId="26D5D2F9" w:rsidR="00BC68BE" w:rsidRPr="005206CA" w:rsidRDefault="00BC68BE" w:rsidP="00B92173">
            <w:pPr>
              <w:pStyle w:val="Footnote"/>
            </w:pPr>
            <w:r w:rsidRPr="00AC7279">
              <w:rPr>
                <w:b/>
              </w:rPr>
              <w:t>Source</w:t>
            </w:r>
            <w:r w:rsidRPr="005206CA">
              <w:t>: DoEE n.d.</w:t>
            </w:r>
            <w:r w:rsidR="002C4061" w:rsidRPr="005206CA">
              <w:t>c.</w:t>
            </w:r>
          </w:p>
        </w:tc>
      </w:tr>
    </w:tbl>
    <w:p w14:paraId="5653679B" w14:textId="77777777" w:rsidR="007E0199" w:rsidRDefault="007E0199" w:rsidP="00BC68BE">
      <w:pPr>
        <w:spacing w:before="120"/>
      </w:pPr>
    </w:p>
    <w:p w14:paraId="48CB1273" w14:textId="5BC65634" w:rsidR="003002AD" w:rsidRPr="005206CA" w:rsidRDefault="003002AD" w:rsidP="00BC68BE">
      <w:pPr>
        <w:spacing w:before="120"/>
      </w:pPr>
      <w:r w:rsidRPr="005206CA">
        <w:t xml:space="preserve">In order to estimate the potential cost to the Government of replacing a given volume of lost carbon stores at the end of the 25 year permanence period (and determine if the permanence discount is set appropriately), a number of assumptions are used. The government bond rate is used as a proxy for a return on savings if the value of ACCUs from the 20 per cent discount </w:t>
      </w:r>
      <w:r w:rsidR="003801B5" w:rsidRPr="005206CA">
        <w:t xml:space="preserve">is </w:t>
      </w:r>
      <w:r w:rsidRPr="005206CA">
        <w:t xml:space="preserve">invested. An assumption about the likely increase in the price of ACCUs over time is used to project how much the Government would need to pay to replace the lost abatement. The actual cost of replacing the carbon will depend on the </w:t>
      </w:r>
      <w:r w:rsidR="00E7729F" w:rsidRPr="005206CA">
        <w:t>volume</w:t>
      </w:r>
      <w:r w:rsidRPr="005206CA">
        <w:t xml:space="preserve"> of carbon lost and carbon prices at the time the replacement is needed.</w:t>
      </w:r>
    </w:p>
    <w:p w14:paraId="318F8FCF" w14:textId="77777777" w:rsidR="00BC68BE" w:rsidRPr="005206CA" w:rsidRDefault="003002AD" w:rsidP="00BC68BE">
      <w:r w:rsidRPr="005206CA">
        <w:t>The CFI Act allows the 25 year permanence period discount to be adjusted across the ERF as a whole or for particular methods. As time goes on, there may be new information to help inform the likelihood of reversals that are not replaced and the cost of doing so. The Authority is of the view the permanence discount should be reviewed at regular intervals but again any changes would apply only to new projects</w:t>
      </w:r>
      <w:r w:rsidR="00BC68BE" w:rsidRPr="005206CA">
        <w:t>.</w:t>
      </w:r>
    </w:p>
    <w:tbl>
      <w:tblPr>
        <w:tblStyle w:val="TableGrid"/>
        <w:tblW w:w="0" w:type="auto"/>
        <w:shd w:val="clear" w:color="auto" w:fill="E6ECF2"/>
        <w:tblLook w:val="04A0" w:firstRow="1" w:lastRow="0" w:firstColumn="1" w:lastColumn="0" w:noHBand="0" w:noVBand="1"/>
      </w:tblPr>
      <w:tblGrid>
        <w:gridCol w:w="9202"/>
      </w:tblGrid>
      <w:tr w:rsidR="00BC68BE" w:rsidRPr="005206CA" w14:paraId="4202AF0D" w14:textId="77777777" w:rsidTr="00C327F1">
        <w:trPr>
          <w:cnfStyle w:val="100000000000" w:firstRow="1" w:lastRow="0" w:firstColumn="0" w:lastColumn="0" w:oddVBand="0" w:evenVBand="0" w:oddHBand="0" w:evenHBand="0" w:firstRowFirstColumn="0" w:firstRowLastColumn="0" w:lastRowFirstColumn="0" w:lastRowLastColumn="0"/>
          <w:trHeight w:val="1415"/>
        </w:trPr>
        <w:tc>
          <w:tcPr>
            <w:tcW w:w="9202" w:type="dxa"/>
            <w:shd w:val="clear" w:color="auto" w:fill="E6ECF2"/>
            <w:tcMar>
              <w:top w:w="567" w:type="dxa"/>
              <w:left w:w="567" w:type="dxa"/>
              <w:bottom w:w="567" w:type="dxa"/>
              <w:right w:w="567" w:type="dxa"/>
            </w:tcMar>
          </w:tcPr>
          <w:p w14:paraId="6B8CBD5B" w14:textId="77777777" w:rsidR="00BC68BE" w:rsidRPr="005206CA" w:rsidRDefault="00BC68BE" w:rsidP="00C327F1">
            <w:pPr>
              <w:rPr>
                <w:b/>
                <w:color w:val="159DCE"/>
                <w:sz w:val="18"/>
                <w:szCs w:val="18"/>
              </w:rPr>
            </w:pPr>
            <w:r w:rsidRPr="005206CA">
              <w:rPr>
                <w:b/>
                <w:color w:val="159DCE"/>
                <w:sz w:val="18"/>
                <w:szCs w:val="18"/>
              </w:rPr>
              <w:t>RECOMMENDATION</w:t>
            </w:r>
          </w:p>
          <w:p w14:paraId="11493F00" w14:textId="62E5DD1C" w:rsidR="00BC68BE" w:rsidRPr="005206CA" w:rsidRDefault="00BC68BE" w:rsidP="00C327F1">
            <w:pPr>
              <w:spacing w:after="140" w:line="320" w:lineRule="exact"/>
              <w:ind w:left="851" w:hanging="851"/>
              <w:rPr>
                <w:sz w:val="18"/>
                <w:szCs w:val="18"/>
              </w:rPr>
            </w:pPr>
            <w:bookmarkStart w:id="855" w:name="_Ref497827914"/>
            <w:bookmarkStart w:id="856" w:name="_Toc497827440"/>
            <w:bookmarkStart w:id="857" w:name="_Toc497834076"/>
            <w:bookmarkStart w:id="858" w:name="_Toc498534524"/>
            <w:bookmarkStart w:id="859" w:name="_Toc498614719"/>
            <w:bookmarkStart w:id="860" w:name="_Toc498691474"/>
            <w:bookmarkStart w:id="861" w:name="_Toc499051673"/>
            <w:bookmarkStart w:id="862" w:name="_Toc499202058"/>
            <w:bookmarkStart w:id="863" w:name="_Toc499892341"/>
            <w:bookmarkStart w:id="864" w:name="_Toc499898702"/>
            <w:bookmarkStart w:id="865" w:name="_Toc499899342"/>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12</w:t>
            </w:r>
            <w:r w:rsidRPr="005206CA">
              <w:rPr>
                <w:rFonts w:cs="Arial"/>
                <w:sz w:val="18"/>
              </w:rPr>
              <w:fldChar w:fldCharType="end"/>
            </w:r>
            <w:bookmarkEnd w:id="855"/>
            <w:r w:rsidRPr="005206CA">
              <w:rPr>
                <w:rFonts w:cs="Arial"/>
                <w:sz w:val="18"/>
              </w:rPr>
              <w:t xml:space="preserve">. </w:t>
            </w:r>
            <w:r w:rsidRPr="005206CA">
              <w:rPr>
                <w:rFonts w:cs="Arial"/>
                <w:sz w:val="18"/>
              </w:rPr>
              <w:tab/>
            </w:r>
            <w:bookmarkStart w:id="866" w:name="_Ref500236836"/>
            <w:r w:rsidR="00AB3A56" w:rsidRPr="005206CA">
              <w:rPr>
                <w:sz w:val="18"/>
                <w:szCs w:val="18"/>
                <w:lang w:val="en-US"/>
              </w:rPr>
              <w:t>The Authority</w:t>
            </w:r>
            <w:r w:rsidR="00AB3A56" w:rsidRPr="005206CA" w:rsidDel="009D136D">
              <w:rPr>
                <w:sz w:val="18"/>
                <w:szCs w:val="18"/>
                <w:lang w:val="en-US"/>
              </w:rPr>
              <w:t xml:space="preserve"> </w:t>
            </w:r>
            <w:r w:rsidR="00AB3A56" w:rsidRPr="005206CA">
              <w:rPr>
                <w:sz w:val="18"/>
                <w:szCs w:val="18"/>
                <w:lang w:val="en-US"/>
              </w:rPr>
              <w:t>review in every second review of the C</w:t>
            </w:r>
            <w:r w:rsidR="00402F51" w:rsidRPr="005206CA">
              <w:rPr>
                <w:sz w:val="18"/>
                <w:szCs w:val="18"/>
                <w:lang w:val="en-US"/>
              </w:rPr>
              <w:t xml:space="preserve">arbon </w:t>
            </w:r>
            <w:r w:rsidR="00AB3A56" w:rsidRPr="005206CA">
              <w:rPr>
                <w:sz w:val="18"/>
                <w:szCs w:val="18"/>
                <w:lang w:val="en-US"/>
              </w:rPr>
              <w:t>F</w:t>
            </w:r>
            <w:r w:rsidR="00402F51" w:rsidRPr="005206CA">
              <w:rPr>
                <w:sz w:val="18"/>
                <w:szCs w:val="18"/>
                <w:lang w:val="en-US"/>
              </w:rPr>
              <w:t xml:space="preserve">arming </w:t>
            </w:r>
            <w:r w:rsidR="00E0226A" w:rsidRPr="005206CA">
              <w:rPr>
                <w:sz w:val="18"/>
                <w:szCs w:val="18"/>
                <w:lang w:val="en-US"/>
              </w:rPr>
              <w:t>Initiative</w:t>
            </w:r>
            <w:r w:rsidR="00AB3A56" w:rsidRPr="005206CA">
              <w:rPr>
                <w:sz w:val="18"/>
                <w:szCs w:val="18"/>
                <w:lang w:val="en-US"/>
              </w:rPr>
              <w:t xml:space="preserve"> legislation the risk of reversal buffer and the 25 year permanence discount to determine whether these discounts are calibrated to potential losses of carbon, based on evidence of actual losses of carbon in the E</w:t>
            </w:r>
            <w:r w:rsidR="00402F51" w:rsidRPr="005206CA">
              <w:rPr>
                <w:sz w:val="18"/>
                <w:szCs w:val="18"/>
                <w:lang w:val="en-US"/>
              </w:rPr>
              <w:t xml:space="preserve">missions </w:t>
            </w:r>
            <w:r w:rsidR="00AB3A56" w:rsidRPr="005206CA">
              <w:rPr>
                <w:sz w:val="18"/>
                <w:szCs w:val="18"/>
                <w:lang w:val="en-US"/>
              </w:rPr>
              <w:t>R</w:t>
            </w:r>
            <w:r w:rsidR="00402F51" w:rsidRPr="005206CA">
              <w:rPr>
                <w:sz w:val="18"/>
                <w:szCs w:val="18"/>
                <w:lang w:val="en-US"/>
              </w:rPr>
              <w:t xml:space="preserve">eduction </w:t>
            </w:r>
            <w:r w:rsidR="00AB3A56" w:rsidRPr="005206CA">
              <w:rPr>
                <w:sz w:val="18"/>
                <w:szCs w:val="18"/>
                <w:lang w:val="en-US"/>
              </w:rPr>
              <w:t>F</w:t>
            </w:r>
            <w:r w:rsidR="00402F51" w:rsidRPr="005206CA">
              <w:rPr>
                <w:sz w:val="18"/>
                <w:szCs w:val="18"/>
                <w:lang w:val="en-US"/>
              </w:rPr>
              <w:t>und</w:t>
            </w:r>
            <w:r w:rsidR="00AB3A56" w:rsidRPr="005206CA">
              <w:rPr>
                <w:sz w:val="18"/>
                <w:szCs w:val="18"/>
                <w:lang w:val="en-US"/>
              </w:rPr>
              <w:t>.</w:t>
            </w:r>
            <w:bookmarkEnd w:id="856"/>
            <w:bookmarkEnd w:id="857"/>
            <w:bookmarkEnd w:id="858"/>
            <w:bookmarkEnd w:id="859"/>
            <w:bookmarkEnd w:id="860"/>
            <w:bookmarkEnd w:id="861"/>
            <w:bookmarkEnd w:id="862"/>
            <w:bookmarkEnd w:id="863"/>
            <w:bookmarkEnd w:id="864"/>
            <w:bookmarkEnd w:id="865"/>
            <w:bookmarkEnd w:id="866"/>
          </w:p>
        </w:tc>
      </w:tr>
    </w:tbl>
    <w:p w14:paraId="7C026D92" w14:textId="77777777" w:rsidR="003002AD" w:rsidRPr="005206CA" w:rsidRDefault="003002AD" w:rsidP="003002AD"/>
    <w:p w14:paraId="043270CE" w14:textId="77777777" w:rsidR="00120927" w:rsidRPr="005206CA" w:rsidRDefault="00897FA3" w:rsidP="00A143AC">
      <w:pPr>
        <w:pStyle w:val="Heading1"/>
        <w:numPr>
          <w:ilvl w:val="0"/>
          <w:numId w:val="44"/>
        </w:numPr>
      </w:pPr>
      <w:bookmarkStart w:id="867" w:name="_Toc497819483"/>
      <w:bookmarkStart w:id="868" w:name="_Toc498691550"/>
      <w:bookmarkStart w:id="869" w:name="_Toc499043731"/>
      <w:bookmarkStart w:id="870" w:name="_Toc499051756"/>
      <w:bookmarkStart w:id="871" w:name="_Ref500246984"/>
      <w:bookmarkStart w:id="872" w:name="_Toc500251106"/>
      <w:bookmarkStart w:id="873" w:name="_Toc500251381"/>
      <w:bookmarkStart w:id="874" w:name="_Toc500253978"/>
      <w:bookmarkStart w:id="875" w:name="_Toc500401485"/>
      <w:bookmarkStart w:id="876" w:name="_Toc500490970"/>
      <w:bookmarkStart w:id="877" w:name="_Toc500512912"/>
      <w:bookmarkStart w:id="878" w:name="_Toc500514167"/>
      <w:bookmarkStart w:id="879" w:name="_Toc500516224"/>
      <w:r w:rsidRPr="005206CA">
        <w:t>Carbon service providers</w:t>
      </w:r>
      <w:r w:rsidR="00937BEB" w:rsidRPr="005206CA">
        <w:t xml:space="preserve"> and aggregation</w:t>
      </w:r>
      <w:bookmarkEnd w:id="867"/>
      <w:bookmarkEnd w:id="868"/>
      <w:bookmarkEnd w:id="869"/>
      <w:bookmarkEnd w:id="870"/>
      <w:bookmarkEnd w:id="871"/>
      <w:bookmarkEnd w:id="872"/>
      <w:bookmarkEnd w:id="873"/>
      <w:bookmarkEnd w:id="874"/>
      <w:bookmarkEnd w:id="875"/>
      <w:bookmarkEnd w:id="876"/>
      <w:bookmarkEnd w:id="877"/>
      <w:bookmarkEnd w:id="878"/>
      <w:bookmarkEnd w:id="879"/>
    </w:p>
    <w:p w14:paraId="1E1E3E91" w14:textId="382E37B2" w:rsidR="00897FA3" w:rsidRPr="005206CA" w:rsidRDefault="00897FA3" w:rsidP="00897FA3">
      <w:r w:rsidRPr="005206CA">
        <w:t>Carbon service providers (CSP</w:t>
      </w:r>
      <w:r w:rsidR="00726DC5" w:rsidRPr="005206CA">
        <w:t>s</w:t>
      </w:r>
      <w:r w:rsidRPr="005206CA">
        <w:t>) can be involved in E</w:t>
      </w:r>
      <w:r w:rsidR="0045781A" w:rsidRPr="005206CA">
        <w:t xml:space="preserve">missions </w:t>
      </w:r>
      <w:r w:rsidRPr="005206CA">
        <w:t>R</w:t>
      </w:r>
      <w:r w:rsidR="0045781A" w:rsidRPr="005206CA">
        <w:t xml:space="preserve">eduction </w:t>
      </w:r>
      <w:r w:rsidRPr="005206CA">
        <w:t>F</w:t>
      </w:r>
      <w:r w:rsidR="0045781A" w:rsidRPr="005206CA">
        <w:t xml:space="preserve">und (ERF) </w:t>
      </w:r>
      <w:r w:rsidRPr="005206CA">
        <w:t xml:space="preserve">projects in a number of ways. They may develop ERF projects, provide advice on project registration, implementation and management, aggregate projects or contracts </w:t>
      </w:r>
      <w:r w:rsidR="0031316A" w:rsidRPr="005206CA">
        <w:t>(</w:t>
      </w:r>
      <w:r w:rsidR="00830BF6">
        <w:t xml:space="preserve">Section </w:t>
      </w:r>
      <w:r w:rsidR="00830BF6">
        <w:fldChar w:fldCharType="begin"/>
      </w:r>
      <w:r w:rsidR="00830BF6">
        <w:instrText xml:space="preserve"> REF _Ref500331549 \n \h </w:instrText>
      </w:r>
      <w:r w:rsidR="00830BF6">
        <w:fldChar w:fldCharType="separate"/>
      </w:r>
      <w:r w:rsidR="00FA2002">
        <w:t>6.6</w:t>
      </w:r>
      <w:r w:rsidR="00830BF6">
        <w:fldChar w:fldCharType="end"/>
      </w:r>
      <w:r w:rsidRPr="005206CA">
        <w:t xml:space="preserve">) or act as </w:t>
      </w:r>
      <w:r w:rsidR="00AE0B04" w:rsidRPr="005206CA">
        <w:t xml:space="preserve">designated </w:t>
      </w:r>
      <w:r w:rsidRPr="005206CA">
        <w:t>agents, whereby they are authorised to act on the scheme participant’s behalf. CSPs play an important role in the delivery of the ERF in terms of developing and running projects and reducing transaction costs.</w:t>
      </w:r>
    </w:p>
    <w:p w14:paraId="09530F34" w14:textId="77777777" w:rsidR="00897FA3" w:rsidRPr="005206CA" w:rsidRDefault="00897FA3">
      <w:pPr>
        <w:pStyle w:val="Heading2"/>
      </w:pPr>
      <w:bookmarkStart w:id="880" w:name="_Toc497819484"/>
      <w:bookmarkStart w:id="881" w:name="_Toc498691551"/>
      <w:bookmarkStart w:id="882" w:name="_Toc499043732"/>
      <w:bookmarkStart w:id="883" w:name="_Toc499051757"/>
      <w:bookmarkStart w:id="884" w:name="_Toc500251107"/>
      <w:bookmarkStart w:id="885" w:name="_Toc500251382"/>
      <w:bookmarkStart w:id="886" w:name="_Toc500253979"/>
      <w:bookmarkStart w:id="887" w:name="_Toc500401486"/>
      <w:bookmarkStart w:id="888" w:name="_Toc500490971"/>
      <w:bookmarkStart w:id="889" w:name="_Toc500512913"/>
      <w:bookmarkStart w:id="890" w:name="_Toc500514168"/>
      <w:bookmarkStart w:id="891" w:name="_Toc500516225"/>
      <w:r w:rsidRPr="005206CA">
        <w:t>Identifying carbon service providers</w:t>
      </w:r>
      <w:bookmarkEnd w:id="880"/>
      <w:bookmarkEnd w:id="881"/>
      <w:bookmarkEnd w:id="882"/>
      <w:bookmarkEnd w:id="883"/>
      <w:bookmarkEnd w:id="884"/>
      <w:bookmarkEnd w:id="885"/>
      <w:bookmarkEnd w:id="886"/>
      <w:bookmarkEnd w:id="887"/>
      <w:bookmarkEnd w:id="888"/>
      <w:bookmarkEnd w:id="889"/>
      <w:bookmarkEnd w:id="890"/>
      <w:bookmarkEnd w:id="891"/>
    </w:p>
    <w:p w14:paraId="527AFF27" w14:textId="601B6CD2" w:rsidR="00897FA3" w:rsidRPr="005206CA" w:rsidRDefault="00897FA3" w:rsidP="00897FA3">
      <w:r w:rsidRPr="005206CA">
        <w:t>The C</w:t>
      </w:r>
      <w:r w:rsidR="0045781A" w:rsidRPr="005206CA">
        <w:t xml:space="preserve">lean </w:t>
      </w:r>
      <w:r w:rsidRPr="005206CA">
        <w:t>E</w:t>
      </w:r>
      <w:r w:rsidR="0045781A" w:rsidRPr="005206CA">
        <w:t xml:space="preserve">nergy </w:t>
      </w:r>
      <w:r w:rsidRPr="005206CA">
        <w:t>R</w:t>
      </w:r>
      <w:r w:rsidR="0045781A" w:rsidRPr="005206CA">
        <w:t>egulator</w:t>
      </w:r>
      <w:r w:rsidR="00AE0B04" w:rsidRPr="005206CA">
        <w:t>’s</w:t>
      </w:r>
      <w:r w:rsidR="0045781A" w:rsidRPr="005206CA">
        <w:t xml:space="preserve"> (CER</w:t>
      </w:r>
      <w:r w:rsidR="00AE0B04" w:rsidRPr="005206CA">
        <w:t>’s</w:t>
      </w:r>
      <w:r w:rsidR="0045781A" w:rsidRPr="005206CA">
        <w:t xml:space="preserve">) </w:t>
      </w:r>
      <w:r w:rsidRPr="005206CA">
        <w:t xml:space="preserve">oversight of CSPs is limited to their role as </w:t>
      </w:r>
      <w:r w:rsidR="006517B3">
        <w:t>scheme</w:t>
      </w:r>
      <w:r w:rsidR="006517B3" w:rsidRPr="005206CA">
        <w:t xml:space="preserve"> </w:t>
      </w:r>
      <w:r w:rsidRPr="005206CA">
        <w:t xml:space="preserve">participants, authorised contact persons or </w:t>
      </w:r>
      <w:r w:rsidR="00AE0B04" w:rsidRPr="005206CA">
        <w:t xml:space="preserve">designated </w:t>
      </w:r>
      <w:r w:rsidRPr="005206CA">
        <w:t xml:space="preserve">agents. As of </w:t>
      </w:r>
      <w:r w:rsidR="00E14A19" w:rsidRPr="005206CA">
        <w:t>November</w:t>
      </w:r>
      <w:r w:rsidRPr="005206CA">
        <w:t xml:space="preserve"> 2017, </w:t>
      </w:r>
      <w:r w:rsidR="001340CC" w:rsidRPr="005206CA">
        <w:t xml:space="preserve">around </w:t>
      </w:r>
      <w:r w:rsidRPr="005206CA">
        <w:t>3</w:t>
      </w:r>
      <w:r w:rsidR="00E14A19" w:rsidRPr="005206CA">
        <w:t>53</w:t>
      </w:r>
      <w:r w:rsidRPr="005206CA">
        <w:t xml:space="preserve"> projects (or 5</w:t>
      </w:r>
      <w:r w:rsidR="00E14A19" w:rsidRPr="005206CA">
        <w:t>2</w:t>
      </w:r>
      <w:r w:rsidRPr="005206CA">
        <w:t xml:space="preserve"> per cent) involved CSPs. These projects include 60 per cent of all contracted projects, accounting for 74 per cent of contracted abatement. </w:t>
      </w:r>
      <w:r w:rsidR="00CD542A">
        <w:fldChar w:fldCharType="begin"/>
      </w:r>
      <w:r w:rsidR="00CD542A">
        <w:instrText xml:space="preserve"> REF _Ref500316038 \h </w:instrText>
      </w:r>
      <w:r w:rsidR="00CD542A">
        <w:fldChar w:fldCharType="separate"/>
      </w:r>
      <w:r w:rsidR="00FA2002" w:rsidRPr="005206CA">
        <w:t xml:space="preserve">Table </w:t>
      </w:r>
      <w:r w:rsidR="00FA2002">
        <w:rPr>
          <w:noProof/>
        </w:rPr>
        <w:t>6</w:t>
      </w:r>
      <w:r w:rsidR="00CD542A">
        <w:fldChar w:fldCharType="end"/>
      </w:r>
      <w:r w:rsidR="00CD542A">
        <w:t xml:space="preserve"> </w:t>
      </w:r>
      <w:r w:rsidRPr="005206CA">
        <w:t>outlines CSP involvement by sector. Most projects involving CSPs are in the vegetation sector, reflecting the dominance of vegetation projects in the ERF. The industrial fugitives and waste sectors also have high uptake of CSP services.</w:t>
      </w:r>
    </w:p>
    <w:p w14:paraId="539B5D06" w14:textId="77777777" w:rsidR="00897FA3" w:rsidRPr="005206CA" w:rsidRDefault="00897FA3" w:rsidP="00897FA3">
      <w:r w:rsidRPr="005206CA">
        <w:t xml:space="preserve">CSPs could also be associated with other projects, for example as advisers. If this is the case, this may not be known to the CER and it is not included in the project register. </w:t>
      </w:r>
    </w:p>
    <w:p w14:paraId="0A4C9190" w14:textId="77777777" w:rsidR="00897FA3" w:rsidRPr="005206CA" w:rsidRDefault="00897FA3" w:rsidP="00897FA3">
      <w:pPr>
        <w:pStyle w:val="CCAFigure"/>
      </w:pPr>
      <w:bookmarkStart w:id="892" w:name="_Ref500316038"/>
      <w:bookmarkStart w:id="893" w:name="_Toc497819434"/>
      <w:bookmarkStart w:id="894" w:name="_Toc498691496"/>
      <w:bookmarkStart w:id="895" w:name="_Toc499051696"/>
      <w:bookmarkStart w:id="896" w:name="_Toc500251045"/>
      <w:bookmarkStart w:id="897" w:name="_Toc500251320"/>
      <w:bookmarkStart w:id="898" w:name="_Toc500253917"/>
      <w:bookmarkStart w:id="899" w:name="_Toc500400120"/>
      <w:bookmarkStart w:id="900" w:name="_Toc500490908"/>
      <w:bookmarkStart w:id="901" w:name="_Toc500513624"/>
      <w:bookmarkStart w:id="902" w:name="_Toc500516162"/>
      <w:r w:rsidRPr="005206CA">
        <w:t xml:space="preserve">Table </w:t>
      </w:r>
      <w:r w:rsidR="00FA2002">
        <w:fldChar w:fldCharType="begin"/>
      </w:r>
      <w:r w:rsidR="00FA2002">
        <w:instrText xml:space="preserve"> SEQ Table \* ARABIC </w:instrText>
      </w:r>
      <w:r w:rsidR="00FA2002">
        <w:fldChar w:fldCharType="separate"/>
      </w:r>
      <w:r w:rsidR="00FA2002">
        <w:rPr>
          <w:noProof/>
        </w:rPr>
        <w:t>6</w:t>
      </w:r>
      <w:r w:rsidR="00FA2002">
        <w:rPr>
          <w:noProof/>
        </w:rPr>
        <w:fldChar w:fldCharType="end"/>
      </w:r>
      <w:bookmarkEnd w:id="892"/>
      <w:r w:rsidR="006F4344" w:rsidRPr="005206CA">
        <w:rPr>
          <w:noProof/>
        </w:rPr>
        <w:t>:</w:t>
      </w:r>
      <w:r w:rsidRPr="005206CA">
        <w:t xml:space="preserve"> CSP involvement by sector</w:t>
      </w:r>
      <w:bookmarkEnd w:id="893"/>
      <w:bookmarkEnd w:id="894"/>
      <w:bookmarkEnd w:id="895"/>
      <w:bookmarkEnd w:id="896"/>
      <w:bookmarkEnd w:id="897"/>
      <w:bookmarkEnd w:id="898"/>
      <w:bookmarkEnd w:id="899"/>
      <w:bookmarkEnd w:id="900"/>
      <w:bookmarkEnd w:id="901"/>
      <w:bookmarkEnd w:id="902"/>
    </w:p>
    <w:tbl>
      <w:tblPr>
        <w:tblStyle w:val="TableGrid"/>
        <w:tblW w:w="9072"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268"/>
        <w:gridCol w:w="2268"/>
        <w:gridCol w:w="2268"/>
        <w:gridCol w:w="2268"/>
      </w:tblGrid>
      <w:tr w:rsidR="00897FA3" w:rsidRPr="005206CA" w14:paraId="5779EB36" w14:textId="77777777" w:rsidTr="00633F48">
        <w:trPr>
          <w:cnfStyle w:val="100000000000" w:firstRow="1" w:lastRow="0" w:firstColumn="0" w:lastColumn="0" w:oddVBand="0" w:evenVBand="0" w:oddHBand="0" w:evenHBand="0" w:firstRowFirstColumn="0" w:firstRowLastColumn="0" w:lastRowFirstColumn="0" w:lastRowLastColumn="0"/>
          <w:trHeight w:val="239"/>
        </w:trPr>
        <w:tc>
          <w:tcPr>
            <w:tcW w:w="2268" w:type="dxa"/>
            <w:shd w:val="clear" w:color="auto" w:fill="159DCE"/>
            <w:noWrap/>
            <w:hideMark/>
          </w:tcPr>
          <w:p w14:paraId="367907BF" w14:textId="77777777" w:rsidR="00633F48" w:rsidRPr="005206CA" w:rsidRDefault="00897FA3" w:rsidP="004B1F4F">
            <w:pPr>
              <w:rPr>
                <w:b/>
                <w:color w:val="FFFFFF" w:themeColor="background1"/>
                <w:sz w:val="16"/>
                <w:szCs w:val="16"/>
              </w:rPr>
            </w:pPr>
            <w:r w:rsidRPr="005206CA">
              <w:rPr>
                <w:b/>
                <w:color w:val="FFFFFF" w:themeColor="background1"/>
                <w:sz w:val="16"/>
                <w:szCs w:val="16"/>
              </w:rPr>
              <w:t>SECTOR</w:t>
            </w:r>
          </w:p>
          <w:p w14:paraId="5C2AFA55" w14:textId="77777777" w:rsidR="00897FA3" w:rsidRPr="005B62E5" w:rsidRDefault="00897FA3" w:rsidP="00633F48">
            <w:pPr>
              <w:ind w:firstLine="737"/>
              <w:rPr>
                <w:b/>
                <w:sz w:val="16"/>
                <w:szCs w:val="16"/>
              </w:rPr>
            </w:pPr>
          </w:p>
        </w:tc>
        <w:tc>
          <w:tcPr>
            <w:tcW w:w="2268" w:type="dxa"/>
            <w:shd w:val="clear" w:color="auto" w:fill="159DCE"/>
            <w:noWrap/>
            <w:hideMark/>
          </w:tcPr>
          <w:p w14:paraId="77D287CF" w14:textId="77777777" w:rsidR="00897FA3" w:rsidRPr="005206CA" w:rsidRDefault="00897FA3" w:rsidP="004B1F4F">
            <w:pPr>
              <w:rPr>
                <w:b/>
                <w:color w:val="FFFFFF" w:themeColor="background1"/>
                <w:sz w:val="16"/>
                <w:szCs w:val="16"/>
              </w:rPr>
            </w:pPr>
            <w:r w:rsidRPr="005206CA">
              <w:rPr>
                <w:b/>
                <w:color w:val="FFFFFF" w:themeColor="background1"/>
                <w:sz w:val="16"/>
                <w:szCs w:val="16"/>
              </w:rPr>
              <w:t>NUMBER OF PROJECTS INVOLVING CSPS</w:t>
            </w:r>
          </w:p>
        </w:tc>
        <w:tc>
          <w:tcPr>
            <w:tcW w:w="2268" w:type="dxa"/>
            <w:shd w:val="clear" w:color="auto" w:fill="159DCE"/>
            <w:noWrap/>
            <w:hideMark/>
          </w:tcPr>
          <w:p w14:paraId="62B116D8" w14:textId="77777777" w:rsidR="00897FA3" w:rsidRPr="005206CA" w:rsidRDefault="00897FA3" w:rsidP="004B1F4F">
            <w:pPr>
              <w:rPr>
                <w:b/>
                <w:color w:val="FFFFFF" w:themeColor="background1"/>
                <w:sz w:val="16"/>
                <w:szCs w:val="16"/>
              </w:rPr>
            </w:pPr>
            <w:r w:rsidRPr="005206CA">
              <w:rPr>
                <w:b/>
                <w:color w:val="FFFFFF" w:themeColor="background1"/>
                <w:sz w:val="16"/>
                <w:szCs w:val="16"/>
              </w:rPr>
              <w:t>TOTAL NUMBER OF PROJECTS IN THE ERF</w:t>
            </w:r>
          </w:p>
        </w:tc>
        <w:tc>
          <w:tcPr>
            <w:tcW w:w="2268" w:type="dxa"/>
            <w:shd w:val="clear" w:color="auto" w:fill="159DCE"/>
            <w:noWrap/>
            <w:hideMark/>
          </w:tcPr>
          <w:p w14:paraId="3EC6460B" w14:textId="77777777" w:rsidR="00897FA3" w:rsidRPr="005206CA" w:rsidRDefault="00897FA3" w:rsidP="004B1F4F">
            <w:pPr>
              <w:rPr>
                <w:b/>
                <w:color w:val="FFFFFF" w:themeColor="background1"/>
                <w:sz w:val="16"/>
                <w:szCs w:val="16"/>
              </w:rPr>
            </w:pPr>
            <w:r w:rsidRPr="005206CA">
              <w:rPr>
                <w:b/>
                <w:color w:val="FFFFFF" w:themeColor="background1"/>
                <w:sz w:val="16"/>
                <w:szCs w:val="16"/>
              </w:rPr>
              <w:t>SHARE OF TOTAL PROJECTS WITH CSP INVOLVEMENT, %</w:t>
            </w:r>
          </w:p>
        </w:tc>
      </w:tr>
      <w:tr w:rsidR="00344075" w:rsidRPr="005206CA" w14:paraId="785FE5CA" w14:textId="77777777" w:rsidTr="00633F48">
        <w:trPr>
          <w:cnfStyle w:val="000000100000" w:firstRow="0" w:lastRow="0" w:firstColumn="0" w:lastColumn="0" w:oddVBand="0" w:evenVBand="0" w:oddHBand="1" w:evenHBand="0" w:firstRowFirstColumn="0" w:firstRowLastColumn="0" w:lastRowFirstColumn="0" w:lastRowLastColumn="0"/>
          <w:trHeight w:val="239"/>
        </w:trPr>
        <w:tc>
          <w:tcPr>
            <w:tcW w:w="2268" w:type="dxa"/>
            <w:noWrap/>
          </w:tcPr>
          <w:p w14:paraId="0BD415D7" w14:textId="37303A27" w:rsidR="00344075" w:rsidRPr="005B62E5" w:rsidRDefault="00344075" w:rsidP="00344075">
            <w:pPr>
              <w:spacing w:after="0"/>
              <w:rPr>
                <w:b/>
                <w:sz w:val="16"/>
                <w:szCs w:val="16"/>
              </w:rPr>
            </w:pPr>
            <w:r w:rsidRPr="005B62E5">
              <w:rPr>
                <w:b/>
                <w:sz w:val="16"/>
                <w:szCs w:val="16"/>
              </w:rPr>
              <w:t>Vegetation</w:t>
            </w:r>
          </w:p>
        </w:tc>
        <w:tc>
          <w:tcPr>
            <w:tcW w:w="2268" w:type="dxa"/>
            <w:noWrap/>
          </w:tcPr>
          <w:p w14:paraId="6256999E" w14:textId="3ECAAC69" w:rsidR="00344075" w:rsidRPr="005206CA" w:rsidRDefault="00344075" w:rsidP="00344075">
            <w:pPr>
              <w:spacing w:after="0"/>
              <w:rPr>
                <w:sz w:val="16"/>
                <w:szCs w:val="16"/>
              </w:rPr>
            </w:pPr>
            <w:r w:rsidRPr="005206CA">
              <w:rPr>
                <w:sz w:val="16"/>
                <w:szCs w:val="16"/>
              </w:rPr>
              <w:t>182</w:t>
            </w:r>
          </w:p>
        </w:tc>
        <w:tc>
          <w:tcPr>
            <w:tcW w:w="2268" w:type="dxa"/>
            <w:noWrap/>
          </w:tcPr>
          <w:p w14:paraId="2F502B4D" w14:textId="00451D87" w:rsidR="00344075" w:rsidRPr="005206CA" w:rsidRDefault="00344075" w:rsidP="00344075">
            <w:pPr>
              <w:spacing w:after="0"/>
              <w:rPr>
                <w:sz w:val="16"/>
                <w:szCs w:val="16"/>
              </w:rPr>
            </w:pPr>
            <w:r w:rsidRPr="005206CA">
              <w:rPr>
                <w:sz w:val="16"/>
                <w:szCs w:val="16"/>
              </w:rPr>
              <w:t>359</w:t>
            </w:r>
          </w:p>
        </w:tc>
        <w:tc>
          <w:tcPr>
            <w:tcW w:w="2268" w:type="dxa"/>
            <w:noWrap/>
          </w:tcPr>
          <w:p w14:paraId="3199E7D7" w14:textId="40D7F073" w:rsidR="00344075" w:rsidRPr="005206CA" w:rsidRDefault="00344075" w:rsidP="00344075">
            <w:pPr>
              <w:spacing w:after="0"/>
              <w:rPr>
                <w:sz w:val="16"/>
                <w:szCs w:val="16"/>
              </w:rPr>
            </w:pPr>
            <w:r w:rsidRPr="005206CA">
              <w:rPr>
                <w:sz w:val="16"/>
                <w:szCs w:val="16"/>
              </w:rPr>
              <w:t>51</w:t>
            </w:r>
          </w:p>
        </w:tc>
      </w:tr>
      <w:tr w:rsidR="00344075" w:rsidRPr="005206CA" w14:paraId="0EA2AB3D" w14:textId="77777777" w:rsidTr="00633F48">
        <w:trPr>
          <w:cnfStyle w:val="000000010000" w:firstRow="0" w:lastRow="0" w:firstColumn="0" w:lastColumn="0" w:oddVBand="0" w:evenVBand="0" w:oddHBand="0" w:evenHBand="1" w:firstRowFirstColumn="0" w:firstRowLastColumn="0" w:lastRowFirstColumn="0" w:lastRowLastColumn="0"/>
          <w:trHeight w:val="239"/>
        </w:trPr>
        <w:tc>
          <w:tcPr>
            <w:tcW w:w="2268" w:type="dxa"/>
            <w:noWrap/>
          </w:tcPr>
          <w:p w14:paraId="024B4F50" w14:textId="455D6B87" w:rsidR="00344075" w:rsidRPr="005B62E5" w:rsidRDefault="00344075" w:rsidP="00344075">
            <w:pPr>
              <w:spacing w:after="0"/>
              <w:rPr>
                <w:b/>
                <w:sz w:val="16"/>
                <w:szCs w:val="16"/>
              </w:rPr>
            </w:pPr>
            <w:r w:rsidRPr="005B62E5">
              <w:rPr>
                <w:b/>
                <w:sz w:val="16"/>
                <w:szCs w:val="16"/>
              </w:rPr>
              <w:t>Waste</w:t>
            </w:r>
          </w:p>
        </w:tc>
        <w:tc>
          <w:tcPr>
            <w:tcW w:w="2268" w:type="dxa"/>
            <w:noWrap/>
          </w:tcPr>
          <w:p w14:paraId="1E2E6B7C" w14:textId="29CBFBDC" w:rsidR="00344075" w:rsidRPr="005206CA" w:rsidRDefault="00344075" w:rsidP="00344075">
            <w:pPr>
              <w:spacing w:after="0"/>
              <w:rPr>
                <w:sz w:val="16"/>
                <w:szCs w:val="16"/>
              </w:rPr>
            </w:pPr>
            <w:r w:rsidRPr="005206CA">
              <w:rPr>
                <w:sz w:val="16"/>
                <w:szCs w:val="16"/>
              </w:rPr>
              <w:t>85</w:t>
            </w:r>
          </w:p>
        </w:tc>
        <w:tc>
          <w:tcPr>
            <w:tcW w:w="2268" w:type="dxa"/>
            <w:noWrap/>
          </w:tcPr>
          <w:p w14:paraId="75DE2918" w14:textId="1189EF9B" w:rsidR="00344075" w:rsidRPr="005206CA" w:rsidRDefault="00344075" w:rsidP="00344075">
            <w:pPr>
              <w:spacing w:after="0"/>
              <w:rPr>
                <w:sz w:val="16"/>
                <w:szCs w:val="16"/>
              </w:rPr>
            </w:pPr>
            <w:r w:rsidRPr="005206CA">
              <w:rPr>
                <w:sz w:val="16"/>
                <w:szCs w:val="16"/>
              </w:rPr>
              <w:t>134</w:t>
            </w:r>
          </w:p>
        </w:tc>
        <w:tc>
          <w:tcPr>
            <w:tcW w:w="2268" w:type="dxa"/>
            <w:noWrap/>
          </w:tcPr>
          <w:p w14:paraId="66DB85A3" w14:textId="026A5C23" w:rsidR="00344075" w:rsidRPr="005206CA" w:rsidRDefault="00344075" w:rsidP="00344075">
            <w:pPr>
              <w:spacing w:after="0"/>
              <w:rPr>
                <w:sz w:val="16"/>
                <w:szCs w:val="16"/>
              </w:rPr>
            </w:pPr>
            <w:r w:rsidRPr="005206CA">
              <w:rPr>
                <w:sz w:val="16"/>
                <w:szCs w:val="16"/>
              </w:rPr>
              <w:t>6</w:t>
            </w:r>
          </w:p>
        </w:tc>
      </w:tr>
      <w:tr w:rsidR="00344075" w:rsidRPr="005206CA" w14:paraId="492EAF9C" w14:textId="77777777" w:rsidTr="00633F48">
        <w:trPr>
          <w:cnfStyle w:val="000000100000" w:firstRow="0" w:lastRow="0" w:firstColumn="0" w:lastColumn="0" w:oddVBand="0" w:evenVBand="0" w:oddHBand="1" w:evenHBand="0" w:firstRowFirstColumn="0" w:firstRowLastColumn="0" w:lastRowFirstColumn="0" w:lastRowLastColumn="0"/>
          <w:trHeight w:val="239"/>
        </w:trPr>
        <w:tc>
          <w:tcPr>
            <w:tcW w:w="2268" w:type="dxa"/>
            <w:noWrap/>
          </w:tcPr>
          <w:p w14:paraId="37DC7632" w14:textId="4BB622EC" w:rsidR="00344075" w:rsidRPr="005B62E5" w:rsidRDefault="00344075" w:rsidP="00344075">
            <w:pPr>
              <w:spacing w:after="0"/>
              <w:rPr>
                <w:b/>
                <w:sz w:val="16"/>
                <w:szCs w:val="16"/>
              </w:rPr>
            </w:pPr>
            <w:r w:rsidRPr="005B62E5">
              <w:rPr>
                <w:b/>
                <w:sz w:val="16"/>
                <w:szCs w:val="16"/>
              </w:rPr>
              <w:t>Agriculture</w:t>
            </w:r>
          </w:p>
        </w:tc>
        <w:tc>
          <w:tcPr>
            <w:tcW w:w="2268" w:type="dxa"/>
            <w:noWrap/>
          </w:tcPr>
          <w:p w14:paraId="1FAF3B2D" w14:textId="68ECCA5C" w:rsidR="00344075" w:rsidRPr="005206CA" w:rsidRDefault="00344075" w:rsidP="00344075">
            <w:pPr>
              <w:spacing w:after="0"/>
              <w:rPr>
                <w:sz w:val="16"/>
                <w:szCs w:val="16"/>
              </w:rPr>
            </w:pPr>
            <w:r w:rsidRPr="005206CA">
              <w:rPr>
                <w:sz w:val="16"/>
                <w:szCs w:val="16"/>
              </w:rPr>
              <w:t>20</w:t>
            </w:r>
          </w:p>
        </w:tc>
        <w:tc>
          <w:tcPr>
            <w:tcW w:w="2268" w:type="dxa"/>
            <w:noWrap/>
          </w:tcPr>
          <w:p w14:paraId="207DED1D" w14:textId="5F1C20AF" w:rsidR="00344075" w:rsidRPr="005206CA" w:rsidRDefault="00344075" w:rsidP="00344075">
            <w:pPr>
              <w:spacing w:after="0"/>
              <w:rPr>
                <w:sz w:val="16"/>
                <w:szCs w:val="16"/>
              </w:rPr>
            </w:pPr>
            <w:r w:rsidRPr="005206CA">
              <w:rPr>
                <w:sz w:val="16"/>
                <w:szCs w:val="16"/>
              </w:rPr>
              <w:t>45</w:t>
            </w:r>
          </w:p>
        </w:tc>
        <w:tc>
          <w:tcPr>
            <w:tcW w:w="2268" w:type="dxa"/>
            <w:noWrap/>
          </w:tcPr>
          <w:p w14:paraId="19FE3B1E" w14:textId="1A97C6E6" w:rsidR="00344075" w:rsidRPr="005206CA" w:rsidRDefault="00344075" w:rsidP="00344075">
            <w:pPr>
              <w:spacing w:after="0"/>
              <w:rPr>
                <w:sz w:val="16"/>
                <w:szCs w:val="16"/>
              </w:rPr>
            </w:pPr>
            <w:r w:rsidRPr="005206CA">
              <w:rPr>
                <w:sz w:val="16"/>
                <w:szCs w:val="16"/>
              </w:rPr>
              <w:t>44</w:t>
            </w:r>
          </w:p>
        </w:tc>
      </w:tr>
      <w:tr w:rsidR="00344075" w:rsidRPr="005206CA" w14:paraId="1F49DEE7" w14:textId="77777777" w:rsidTr="00633F48">
        <w:trPr>
          <w:cnfStyle w:val="000000010000" w:firstRow="0" w:lastRow="0" w:firstColumn="0" w:lastColumn="0" w:oddVBand="0" w:evenVBand="0" w:oddHBand="0" w:evenHBand="1" w:firstRowFirstColumn="0" w:firstRowLastColumn="0" w:lastRowFirstColumn="0" w:lastRowLastColumn="0"/>
          <w:trHeight w:val="239"/>
        </w:trPr>
        <w:tc>
          <w:tcPr>
            <w:tcW w:w="2268" w:type="dxa"/>
            <w:noWrap/>
          </w:tcPr>
          <w:p w14:paraId="4EEC2833" w14:textId="33291BF7" w:rsidR="00344075" w:rsidRPr="005B62E5" w:rsidRDefault="00344075" w:rsidP="00344075">
            <w:pPr>
              <w:spacing w:after="0"/>
              <w:rPr>
                <w:b/>
                <w:sz w:val="16"/>
                <w:szCs w:val="16"/>
              </w:rPr>
            </w:pPr>
            <w:r w:rsidRPr="005B62E5">
              <w:rPr>
                <w:b/>
                <w:sz w:val="16"/>
                <w:szCs w:val="16"/>
              </w:rPr>
              <w:t>Savanna burning</w:t>
            </w:r>
          </w:p>
        </w:tc>
        <w:tc>
          <w:tcPr>
            <w:tcW w:w="2268" w:type="dxa"/>
            <w:noWrap/>
          </w:tcPr>
          <w:p w14:paraId="54CF0D8F" w14:textId="4FE6D191" w:rsidR="00344075" w:rsidRPr="005206CA" w:rsidRDefault="00344075" w:rsidP="00344075">
            <w:pPr>
              <w:spacing w:after="0"/>
              <w:rPr>
                <w:sz w:val="16"/>
                <w:szCs w:val="16"/>
              </w:rPr>
            </w:pPr>
            <w:r w:rsidRPr="005206CA">
              <w:rPr>
                <w:sz w:val="16"/>
                <w:szCs w:val="16"/>
              </w:rPr>
              <w:t>35</w:t>
            </w:r>
          </w:p>
        </w:tc>
        <w:tc>
          <w:tcPr>
            <w:tcW w:w="2268" w:type="dxa"/>
            <w:noWrap/>
          </w:tcPr>
          <w:p w14:paraId="26480968" w14:textId="65029033" w:rsidR="00344075" w:rsidRPr="005206CA" w:rsidRDefault="00344075" w:rsidP="00344075">
            <w:pPr>
              <w:spacing w:after="0"/>
              <w:rPr>
                <w:sz w:val="16"/>
                <w:szCs w:val="16"/>
              </w:rPr>
            </w:pPr>
            <w:r w:rsidRPr="005206CA">
              <w:rPr>
                <w:sz w:val="16"/>
                <w:szCs w:val="16"/>
              </w:rPr>
              <w:t>72</w:t>
            </w:r>
          </w:p>
        </w:tc>
        <w:tc>
          <w:tcPr>
            <w:tcW w:w="2268" w:type="dxa"/>
            <w:noWrap/>
          </w:tcPr>
          <w:p w14:paraId="349DA82F" w14:textId="4275902E" w:rsidR="00344075" w:rsidRPr="005206CA" w:rsidRDefault="00344075" w:rsidP="00344075">
            <w:pPr>
              <w:spacing w:after="0"/>
              <w:rPr>
                <w:sz w:val="16"/>
                <w:szCs w:val="16"/>
              </w:rPr>
            </w:pPr>
            <w:r w:rsidRPr="005206CA">
              <w:rPr>
                <w:sz w:val="16"/>
                <w:szCs w:val="16"/>
              </w:rPr>
              <w:t>49</w:t>
            </w:r>
          </w:p>
        </w:tc>
      </w:tr>
      <w:tr w:rsidR="00344075" w:rsidRPr="005206CA" w14:paraId="57EBFA2D" w14:textId="77777777" w:rsidTr="00633F48">
        <w:trPr>
          <w:cnfStyle w:val="000000100000" w:firstRow="0" w:lastRow="0" w:firstColumn="0" w:lastColumn="0" w:oddVBand="0" w:evenVBand="0" w:oddHBand="1" w:evenHBand="0" w:firstRowFirstColumn="0" w:firstRowLastColumn="0" w:lastRowFirstColumn="0" w:lastRowLastColumn="0"/>
          <w:trHeight w:val="239"/>
        </w:trPr>
        <w:tc>
          <w:tcPr>
            <w:tcW w:w="2268" w:type="dxa"/>
            <w:noWrap/>
            <w:hideMark/>
          </w:tcPr>
          <w:p w14:paraId="7B4160F0" w14:textId="77777777" w:rsidR="00344075" w:rsidRPr="005B62E5" w:rsidRDefault="00344075" w:rsidP="00344075">
            <w:pPr>
              <w:spacing w:after="0"/>
              <w:rPr>
                <w:b/>
                <w:sz w:val="16"/>
                <w:szCs w:val="16"/>
              </w:rPr>
            </w:pPr>
            <w:r w:rsidRPr="005B62E5">
              <w:rPr>
                <w:b/>
                <w:sz w:val="16"/>
                <w:szCs w:val="16"/>
              </w:rPr>
              <w:t>Industrial fugitives</w:t>
            </w:r>
          </w:p>
        </w:tc>
        <w:tc>
          <w:tcPr>
            <w:tcW w:w="2268" w:type="dxa"/>
            <w:noWrap/>
            <w:hideMark/>
          </w:tcPr>
          <w:p w14:paraId="1630CDBA" w14:textId="77777777" w:rsidR="00344075" w:rsidRPr="005206CA" w:rsidRDefault="00344075" w:rsidP="00344075">
            <w:pPr>
              <w:spacing w:after="0"/>
              <w:rPr>
                <w:sz w:val="16"/>
                <w:szCs w:val="16"/>
              </w:rPr>
            </w:pPr>
            <w:r w:rsidRPr="005206CA">
              <w:rPr>
                <w:sz w:val="16"/>
                <w:szCs w:val="16"/>
              </w:rPr>
              <w:t>13</w:t>
            </w:r>
          </w:p>
        </w:tc>
        <w:tc>
          <w:tcPr>
            <w:tcW w:w="2268" w:type="dxa"/>
            <w:noWrap/>
            <w:hideMark/>
          </w:tcPr>
          <w:p w14:paraId="695119D5" w14:textId="77777777" w:rsidR="00344075" w:rsidRPr="005206CA" w:rsidRDefault="00344075" w:rsidP="00344075">
            <w:pPr>
              <w:spacing w:after="0"/>
              <w:rPr>
                <w:sz w:val="16"/>
                <w:szCs w:val="16"/>
              </w:rPr>
            </w:pPr>
            <w:r w:rsidRPr="005206CA">
              <w:rPr>
                <w:sz w:val="16"/>
                <w:szCs w:val="16"/>
              </w:rPr>
              <w:t>14</w:t>
            </w:r>
          </w:p>
        </w:tc>
        <w:tc>
          <w:tcPr>
            <w:tcW w:w="2268" w:type="dxa"/>
            <w:noWrap/>
            <w:hideMark/>
          </w:tcPr>
          <w:p w14:paraId="6758E23C" w14:textId="77777777" w:rsidR="00344075" w:rsidRPr="005206CA" w:rsidRDefault="00344075" w:rsidP="00344075">
            <w:pPr>
              <w:spacing w:after="0"/>
              <w:rPr>
                <w:sz w:val="16"/>
                <w:szCs w:val="16"/>
              </w:rPr>
            </w:pPr>
            <w:r w:rsidRPr="005206CA">
              <w:rPr>
                <w:sz w:val="16"/>
                <w:szCs w:val="16"/>
              </w:rPr>
              <w:t>93</w:t>
            </w:r>
          </w:p>
        </w:tc>
      </w:tr>
      <w:tr w:rsidR="00344075" w:rsidRPr="005206CA" w14:paraId="722FFD63" w14:textId="77777777" w:rsidTr="00633F48">
        <w:trPr>
          <w:cnfStyle w:val="000000010000" w:firstRow="0" w:lastRow="0" w:firstColumn="0" w:lastColumn="0" w:oddVBand="0" w:evenVBand="0" w:oddHBand="0" w:evenHBand="1" w:firstRowFirstColumn="0" w:firstRowLastColumn="0" w:lastRowFirstColumn="0" w:lastRowLastColumn="0"/>
          <w:trHeight w:val="239"/>
        </w:trPr>
        <w:tc>
          <w:tcPr>
            <w:tcW w:w="2268" w:type="dxa"/>
            <w:noWrap/>
            <w:hideMark/>
          </w:tcPr>
          <w:p w14:paraId="5A95B382" w14:textId="77777777" w:rsidR="00344075" w:rsidRPr="005B62E5" w:rsidRDefault="00344075" w:rsidP="00344075">
            <w:pPr>
              <w:spacing w:after="0"/>
              <w:rPr>
                <w:b/>
                <w:sz w:val="16"/>
                <w:szCs w:val="16"/>
              </w:rPr>
            </w:pPr>
            <w:r w:rsidRPr="005B62E5">
              <w:rPr>
                <w:b/>
                <w:sz w:val="16"/>
                <w:szCs w:val="16"/>
              </w:rPr>
              <w:t>Energy efficiency</w:t>
            </w:r>
          </w:p>
        </w:tc>
        <w:tc>
          <w:tcPr>
            <w:tcW w:w="2268" w:type="dxa"/>
            <w:noWrap/>
            <w:hideMark/>
          </w:tcPr>
          <w:p w14:paraId="3C146103" w14:textId="77777777" w:rsidR="00344075" w:rsidRPr="005206CA" w:rsidRDefault="00344075" w:rsidP="00344075">
            <w:pPr>
              <w:spacing w:after="0"/>
              <w:rPr>
                <w:sz w:val="16"/>
                <w:szCs w:val="16"/>
              </w:rPr>
            </w:pPr>
            <w:r w:rsidRPr="005206CA">
              <w:rPr>
                <w:sz w:val="16"/>
                <w:szCs w:val="16"/>
              </w:rPr>
              <w:t>17</w:t>
            </w:r>
          </w:p>
        </w:tc>
        <w:tc>
          <w:tcPr>
            <w:tcW w:w="2268" w:type="dxa"/>
            <w:noWrap/>
            <w:hideMark/>
          </w:tcPr>
          <w:p w14:paraId="74DA814F" w14:textId="77777777" w:rsidR="00344075" w:rsidRPr="005206CA" w:rsidRDefault="00344075" w:rsidP="00344075">
            <w:pPr>
              <w:spacing w:after="0"/>
              <w:rPr>
                <w:sz w:val="16"/>
                <w:szCs w:val="16"/>
              </w:rPr>
            </w:pPr>
            <w:r w:rsidRPr="005206CA">
              <w:rPr>
                <w:sz w:val="16"/>
                <w:szCs w:val="16"/>
              </w:rPr>
              <w:t>51</w:t>
            </w:r>
          </w:p>
        </w:tc>
        <w:tc>
          <w:tcPr>
            <w:tcW w:w="2268" w:type="dxa"/>
            <w:noWrap/>
            <w:hideMark/>
          </w:tcPr>
          <w:p w14:paraId="7D9FB000" w14:textId="77777777" w:rsidR="00344075" w:rsidRPr="005206CA" w:rsidRDefault="00344075" w:rsidP="00344075">
            <w:pPr>
              <w:spacing w:after="0"/>
              <w:rPr>
                <w:sz w:val="16"/>
                <w:szCs w:val="16"/>
              </w:rPr>
            </w:pPr>
            <w:r w:rsidRPr="005206CA">
              <w:rPr>
                <w:sz w:val="16"/>
                <w:szCs w:val="16"/>
              </w:rPr>
              <w:t>31</w:t>
            </w:r>
          </w:p>
        </w:tc>
      </w:tr>
      <w:tr w:rsidR="00344075" w:rsidRPr="005206CA" w14:paraId="0FBC6BFF" w14:textId="77777777" w:rsidTr="00633F48">
        <w:trPr>
          <w:cnfStyle w:val="000000100000" w:firstRow="0" w:lastRow="0" w:firstColumn="0" w:lastColumn="0" w:oddVBand="0" w:evenVBand="0" w:oddHBand="1" w:evenHBand="0" w:firstRowFirstColumn="0" w:firstRowLastColumn="0" w:lastRowFirstColumn="0" w:lastRowLastColumn="0"/>
          <w:trHeight w:val="239"/>
        </w:trPr>
        <w:tc>
          <w:tcPr>
            <w:tcW w:w="2268" w:type="dxa"/>
            <w:noWrap/>
            <w:hideMark/>
          </w:tcPr>
          <w:p w14:paraId="3618B5E1" w14:textId="77777777" w:rsidR="00344075" w:rsidRPr="005B62E5" w:rsidRDefault="00344075" w:rsidP="00344075">
            <w:pPr>
              <w:spacing w:after="0"/>
              <w:rPr>
                <w:b/>
                <w:sz w:val="16"/>
                <w:szCs w:val="16"/>
              </w:rPr>
            </w:pPr>
            <w:r w:rsidRPr="005B62E5">
              <w:rPr>
                <w:b/>
                <w:sz w:val="16"/>
                <w:szCs w:val="16"/>
              </w:rPr>
              <w:t xml:space="preserve">Transport </w:t>
            </w:r>
          </w:p>
        </w:tc>
        <w:tc>
          <w:tcPr>
            <w:tcW w:w="2268" w:type="dxa"/>
            <w:noWrap/>
            <w:hideMark/>
          </w:tcPr>
          <w:p w14:paraId="6D063667" w14:textId="77777777" w:rsidR="00344075" w:rsidRPr="005206CA" w:rsidRDefault="00344075" w:rsidP="00344075">
            <w:pPr>
              <w:spacing w:after="0"/>
              <w:rPr>
                <w:sz w:val="16"/>
                <w:szCs w:val="16"/>
              </w:rPr>
            </w:pPr>
            <w:r w:rsidRPr="005206CA">
              <w:rPr>
                <w:sz w:val="16"/>
                <w:szCs w:val="16"/>
              </w:rPr>
              <w:t>2</w:t>
            </w:r>
          </w:p>
        </w:tc>
        <w:tc>
          <w:tcPr>
            <w:tcW w:w="2268" w:type="dxa"/>
            <w:noWrap/>
            <w:hideMark/>
          </w:tcPr>
          <w:p w14:paraId="2261FA11" w14:textId="77777777" w:rsidR="00344075" w:rsidRPr="005206CA" w:rsidRDefault="00344075" w:rsidP="00344075">
            <w:pPr>
              <w:spacing w:after="0"/>
              <w:rPr>
                <w:sz w:val="16"/>
                <w:szCs w:val="16"/>
              </w:rPr>
            </w:pPr>
            <w:r w:rsidRPr="005206CA">
              <w:rPr>
                <w:sz w:val="16"/>
                <w:szCs w:val="16"/>
              </w:rPr>
              <w:t>7</w:t>
            </w:r>
          </w:p>
        </w:tc>
        <w:tc>
          <w:tcPr>
            <w:tcW w:w="2268" w:type="dxa"/>
            <w:noWrap/>
            <w:hideMark/>
          </w:tcPr>
          <w:p w14:paraId="23C32057" w14:textId="77777777" w:rsidR="00344075" w:rsidRPr="005206CA" w:rsidRDefault="00344075" w:rsidP="00344075">
            <w:pPr>
              <w:spacing w:after="0"/>
              <w:rPr>
                <w:sz w:val="16"/>
                <w:szCs w:val="16"/>
              </w:rPr>
            </w:pPr>
            <w:r w:rsidRPr="005206CA">
              <w:rPr>
                <w:sz w:val="16"/>
                <w:szCs w:val="16"/>
              </w:rPr>
              <w:t>29</w:t>
            </w:r>
          </w:p>
        </w:tc>
      </w:tr>
      <w:tr w:rsidR="00344075" w:rsidRPr="005206CA" w14:paraId="23DD8FD4" w14:textId="77777777" w:rsidTr="00633F48">
        <w:trPr>
          <w:cnfStyle w:val="000000010000" w:firstRow="0" w:lastRow="0" w:firstColumn="0" w:lastColumn="0" w:oddVBand="0" w:evenVBand="0" w:oddHBand="0" w:evenHBand="1" w:firstRowFirstColumn="0" w:firstRowLastColumn="0" w:lastRowFirstColumn="0" w:lastRowLastColumn="0"/>
          <w:trHeight w:val="239"/>
        </w:trPr>
        <w:tc>
          <w:tcPr>
            <w:tcW w:w="2268" w:type="dxa"/>
            <w:noWrap/>
            <w:hideMark/>
          </w:tcPr>
          <w:p w14:paraId="4A87C691" w14:textId="77777777" w:rsidR="00344075" w:rsidRPr="005B62E5" w:rsidRDefault="00344075" w:rsidP="00344075">
            <w:pPr>
              <w:spacing w:after="0"/>
              <w:rPr>
                <w:b/>
                <w:sz w:val="16"/>
                <w:szCs w:val="16"/>
              </w:rPr>
            </w:pPr>
            <w:r w:rsidRPr="005B62E5">
              <w:rPr>
                <w:b/>
                <w:sz w:val="16"/>
                <w:szCs w:val="16"/>
              </w:rPr>
              <w:t>Facilities</w:t>
            </w:r>
          </w:p>
        </w:tc>
        <w:tc>
          <w:tcPr>
            <w:tcW w:w="2268" w:type="dxa"/>
            <w:noWrap/>
            <w:hideMark/>
          </w:tcPr>
          <w:p w14:paraId="55D9739A" w14:textId="77777777" w:rsidR="00344075" w:rsidRPr="005206CA" w:rsidRDefault="00344075" w:rsidP="00344075">
            <w:pPr>
              <w:spacing w:after="0"/>
              <w:rPr>
                <w:sz w:val="16"/>
                <w:szCs w:val="16"/>
              </w:rPr>
            </w:pPr>
            <w:r w:rsidRPr="005206CA">
              <w:rPr>
                <w:sz w:val="16"/>
                <w:szCs w:val="16"/>
              </w:rPr>
              <w:t>0</w:t>
            </w:r>
          </w:p>
        </w:tc>
        <w:tc>
          <w:tcPr>
            <w:tcW w:w="2268" w:type="dxa"/>
            <w:noWrap/>
            <w:hideMark/>
          </w:tcPr>
          <w:p w14:paraId="1234CD5D" w14:textId="77777777" w:rsidR="00344075" w:rsidRPr="005206CA" w:rsidRDefault="00344075" w:rsidP="00344075">
            <w:pPr>
              <w:spacing w:after="0"/>
              <w:rPr>
                <w:sz w:val="16"/>
                <w:szCs w:val="16"/>
              </w:rPr>
            </w:pPr>
            <w:r w:rsidRPr="005206CA">
              <w:rPr>
                <w:sz w:val="16"/>
                <w:szCs w:val="16"/>
              </w:rPr>
              <w:t>1</w:t>
            </w:r>
          </w:p>
        </w:tc>
        <w:tc>
          <w:tcPr>
            <w:tcW w:w="2268" w:type="dxa"/>
            <w:noWrap/>
            <w:hideMark/>
          </w:tcPr>
          <w:p w14:paraId="0EB72A47" w14:textId="77777777" w:rsidR="00344075" w:rsidRPr="005206CA" w:rsidRDefault="00344075" w:rsidP="00344075">
            <w:pPr>
              <w:spacing w:after="0"/>
              <w:rPr>
                <w:sz w:val="16"/>
                <w:szCs w:val="16"/>
              </w:rPr>
            </w:pPr>
            <w:r w:rsidRPr="005206CA">
              <w:rPr>
                <w:sz w:val="16"/>
                <w:szCs w:val="16"/>
              </w:rPr>
              <w:t>0</w:t>
            </w:r>
          </w:p>
        </w:tc>
      </w:tr>
      <w:tr w:rsidR="00344075" w:rsidRPr="005206CA" w14:paraId="5DA297AC" w14:textId="77777777" w:rsidTr="00633F48">
        <w:trPr>
          <w:cnfStyle w:val="000000100000" w:firstRow="0" w:lastRow="0" w:firstColumn="0" w:lastColumn="0" w:oddVBand="0" w:evenVBand="0" w:oddHBand="1" w:evenHBand="0" w:firstRowFirstColumn="0" w:firstRowLastColumn="0" w:lastRowFirstColumn="0" w:lastRowLastColumn="0"/>
          <w:trHeight w:val="239"/>
        </w:trPr>
        <w:tc>
          <w:tcPr>
            <w:tcW w:w="2268" w:type="dxa"/>
            <w:noWrap/>
          </w:tcPr>
          <w:p w14:paraId="05E38E0A" w14:textId="77777777" w:rsidR="00344075" w:rsidRPr="005B62E5" w:rsidRDefault="00344075" w:rsidP="00344075">
            <w:pPr>
              <w:spacing w:after="0"/>
              <w:rPr>
                <w:b/>
                <w:sz w:val="16"/>
                <w:szCs w:val="16"/>
              </w:rPr>
            </w:pPr>
            <w:r w:rsidRPr="005B62E5">
              <w:rPr>
                <w:b/>
                <w:sz w:val="16"/>
                <w:szCs w:val="16"/>
              </w:rPr>
              <w:t>Total</w:t>
            </w:r>
          </w:p>
        </w:tc>
        <w:tc>
          <w:tcPr>
            <w:tcW w:w="2268" w:type="dxa"/>
            <w:noWrap/>
          </w:tcPr>
          <w:p w14:paraId="05CCB6D4" w14:textId="77777777" w:rsidR="00344075" w:rsidRPr="005B62E5" w:rsidRDefault="00344075" w:rsidP="00344075">
            <w:pPr>
              <w:spacing w:after="0"/>
              <w:rPr>
                <w:b/>
                <w:sz w:val="16"/>
                <w:szCs w:val="16"/>
              </w:rPr>
            </w:pPr>
            <w:r w:rsidRPr="005B62E5">
              <w:rPr>
                <w:b/>
                <w:sz w:val="16"/>
                <w:szCs w:val="16"/>
              </w:rPr>
              <w:t>353</w:t>
            </w:r>
          </w:p>
        </w:tc>
        <w:tc>
          <w:tcPr>
            <w:tcW w:w="2268" w:type="dxa"/>
            <w:noWrap/>
          </w:tcPr>
          <w:p w14:paraId="198EA867" w14:textId="77777777" w:rsidR="00344075" w:rsidRPr="005B62E5" w:rsidRDefault="00344075" w:rsidP="00344075">
            <w:pPr>
              <w:spacing w:after="0"/>
              <w:rPr>
                <w:b/>
                <w:sz w:val="16"/>
                <w:szCs w:val="16"/>
              </w:rPr>
            </w:pPr>
            <w:r w:rsidRPr="005B62E5">
              <w:rPr>
                <w:b/>
                <w:sz w:val="16"/>
                <w:szCs w:val="16"/>
              </w:rPr>
              <w:t>683</w:t>
            </w:r>
          </w:p>
        </w:tc>
        <w:tc>
          <w:tcPr>
            <w:tcW w:w="2268" w:type="dxa"/>
            <w:noWrap/>
          </w:tcPr>
          <w:p w14:paraId="10DF328A" w14:textId="77777777" w:rsidR="00344075" w:rsidRPr="005B62E5" w:rsidRDefault="00344075" w:rsidP="00344075">
            <w:pPr>
              <w:spacing w:after="0"/>
              <w:rPr>
                <w:b/>
                <w:sz w:val="16"/>
                <w:szCs w:val="16"/>
              </w:rPr>
            </w:pPr>
            <w:r w:rsidRPr="005B62E5">
              <w:rPr>
                <w:b/>
                <w:sz w:val="16"/>
                <w:szCs w:val="16"/>
              </w:rPr>
              <w:t>52</w:t>
            </w:r>
          </w:p>
        </w:tc>
      </w:tr>
    </w:tbl>
    <w:p w14:paraId="7DB8B2ED" w14:textId="00CFEAD2" w:rsidR="00B8708F" w:rsidRPr="005B62E5" w:rsidRDefault="00056722" w:rsidP="005B62E5">
      <w:pPr>
        <w:pStyle w:val="Footnote"/>
        <w:spacing w:after="0"/>
      </w:pPr>
      <w:r w:rsidRPr="005B62E5">
        <w:rPr>
          <w:b/>
        </w:rPr>
        <w:t>Note</w:t>
      </w:r>
      <w:r w:rsidRPr="005B62E5">
        <w:t>: CSPs are identified from the CER’s project and contract registers based on whether scheme participants, contractors or recipients of Australian Carbon Credit Units (ACCUs) are companies whose primary activity is providing carbon-related services.</w:t>
      </w:r>
      <w:r w:rsidR="008E166E" w:rsidRPr="008E166E">
        <w:t xml:space="preserve"> </w:t>
      </w:r>
      <w:r w:rsidR="008E166E" w:rsidRPr="005206CA">
        <w:t>Data as at 16 November 2017.</w:t>
      </w:r>
    </w:p>
    <w:p w14:paraId="41A17C86" w14:textId="7B9FF681" w:rsidR="00897FA3" w:rsidRPr="005206CA" w:rsidRDefault="00897FA3" w:rsidP="005B62E5">
      <w:pPr>
        <w:pStyle w:val="Footnote"/>
        <w:spacing w:after="0"/>
      </w:pPr>
      <w:r w:rsidRPr="005206CA">
        <w:rPr>
          <w:b/>
        </w:rPr>
        <w:t>Source</w:t>
      </w:r>
      <w:r w:rsidRPr="005B62E5">
        <w:t>:</w:t>
      </w:r>
      <w:r w:rsidRPr="005206CA">
        <w:t xml:space="preserve"> </w:t>
      </w:r>
      <w:r w:rsidR="00AD5389" w:rsidRPr="005206CA">
        <w:t xml:space="preserve">Climate Change Authority based on </w:t>
      </w:r>
      <w:r w:rsidRPr="005206CA">
        <w:t>CER 2017</w:t>
      </w:r>
      <w:r w:rsidR="0094547E" w:rsidRPr="005206CA">
        <w:t>n</w:t>
      </w:r>
      <w:r w:rsidR="00AD5389" w:rsidRPr="005206CA">
        <w:t xml:space="preserve">. </w:t>
      </w:r>
    </w:p>
    <w:p w14:paraId="1BFE464C" w14:textId="77777777" w:rsidR="00897FA3" w:rsidRPr="005206CA" w:rsidRDefault="00897FA3">
      <w:pPr>
        <w:pStyle w:val="Heading2"/>
      </w:pPr>
      <w:bookmarkStart w:id="903" w:name="_Toc498692177"/>
      <w:bookmarkStart w:id="904" w:name="_Toc497819485"/>
      <w:bookmarkStart w:id="905" w:name="_Toc498691552"/>
      <w:bookmarkStart w:id="906" w:name="_Toc499043733"/>
      <w:bookmarkStart w:id="907" w:name="_Toc499051758"/>
      <w:bookmarkStart w:id="908" w:name="_Ref500248179"/>
      <w:bookmarkStart w:id="909" w:name="_Toc500251109"/>
      <w:bookmarkStart w:id="910" w:name="_Toc500251384"/>
      <w:bookmarkStart w:id="911" w:name="_Toc500253981"/>
      <w:bookmarkStart w:id="912" w:name="_Toc500401488"/>
      <w:bookmarkStart w:id="913" w:name="_Toc500490972"/>
      <w:bookmarkStart w:id="914" w:name="_Toc500512914"/>
      <w:bookmarkStart w:id="915" w:name="_Toc500514169"/>
      <w:bookmarkStart w:id="916" w:name="_Toc500516226"/>
      <w:bookmarkEnd w:id="903"/>
      <w:r w:rsidRPr="005206CA">
        <w:t>Market concentration</w:t>
      </w:r>
      <w:bookmarkEnd w:id="904"/>
      <w:bookmarkEnd w:id="905"/>
      <w:bookmarkEnd w:id="906"/>
      <w:bookmarkEnd w:id="907"/>
      <w:bookmarkEnd w:id="908"/>
      <w:bookmarkEnd w:id="909"/>
      <w:bookmarkEnd w:id="910"/>
      <w:bookmarkEnd w:id="911"/>
      <w:bookmarkEnd w:id="912"/>
      <w:bookmarkEnd w:id="913"/>
      <w:bookmarkEnd w:id="914"/>
      <w:bookmarkEnd w:id="915"/>
      <w:bookmarkEnd w:id="916"/>
    </w:p>
    <w:p w14:paraId="04DB7F8B" w14:textId="509521E2" w:rsidR="00897FA3" w:rsidRPr="005206CA" w:rsidRDefault="00897FA3" w:rsidP="00897FA3">
      <w:r w:rsidRPr="005206CA">
        <w:t>Data from the ERF project and contract registers indicate that there are around 25 CSPs operating within the ERF. The market, however, is d</w:t>
      </w:r>
      <w:r w:rsidR="0031316A" w:rsidRPr="005206CA">
        <w:t xml:space="preserve">ominated by a few firms. </w:t>
      </w:r>
      <w:r w:rsidR="00CA3538">
        <w:fldChar w:fldCharType="begin"/>
      </w:r>
      <w:r w:rsidR="00CA3538">
        <w:instrText xml:space="preserve"> REF _Ref500316065 \h </w:instrText>
      </w:r>
      <w:r w:rsidR="00CA3538">
        <w:fldChar w:fldCharType="separate"/>
      </w:r>
      <w:r w:rsidR="00FA2002" w:rsidRPr="005206CA">
        <w:t xml:space="preserve">Table </w:t>
      </w:r>
      <w:r w:rsidR="00FA2002">
        <w:rPr>
          <w:noProof/>
        </w:rPr>
        <w:t>7</w:t>
      </w:r>
      <w:r w:rsidR="00CA3538">
        <w:fldChar w:fldCharType="end"/>
      </w:r>
      <w:r w:rsidR="00CA3538">
        <w:t xml:space="preserve"> </w:t>
      </w:r>
      <w:r w:rsidRPr="005206CA">
        <w:t xml:space="preserve">shows that GreenCollar, the largest CSP, accounts for </w:t>
      </w:r>
      <w:r w:rsidR="0082502B" w:rsidRPr="005206CA">
        <w:t>103</w:t>
      </w:r>
      <w:r w:rsidRPr="005206CA">
        <w:t xml:space="preserve"> registered projects (or around 1</w:t>
      </w:r>
      <w:r w:rsidR="0082502B" w:rsidRPr="005206CA">
        <w:t>5</w:t>
      </w:r>
      <w:r w:rsidRPr="005206CA">
        <w:t xml:space="preserve"> per cent of all projects) and 31 per cent of contracted abatement. Corporate Carbon, the second largest CSP</w:t>
      </w:r>
      <w:r w:rsidR="00C327F1" w:rsidRPr="005206CA">
        <w:t>,</w:t>
      </w:r>
      <w:r w:rsidRPr="005206CA">
        <w:t xml:space="preserve"> accounts for </w:t>
      </w:r>
      <w:r w:rsidR="0082502B" w:rsidRPr="005206CA">
        <w:t>54</w:t>
      </w:r>
      <w:r w:rsidRPr="005206CA">
        <w:t xml:space="preserve"> projects (or </w:t>
      </w:r>
      <w:r w:rsidR="002D7994" w:rsidRPr="005206CA">
        <w:t>eight</w:t>
      </w:r>
      <w:r w:rsidRPr="005206CA">
        <w:t xml:space="preserve"> per cent of projects) and 24 per cent of the total volume of contracted abatement. The</w:t>
      </w:r>
      <w:r w:rsidR="00D55B9C">
        <w:t>se</w:t>
      </w:r>
      <w:r w:rsidRPr="005206CA">
        <w:t xml:space="preserve"> top two providers account for 55 per cent of contracted abatement. </w:t>
      </w:r>
    </w:p>
    <w:p w14:paraId="73B8B83B" w14:textId="77777777" w:rsidR="0031316A" w:rsidRPr="005206CA" w:rsidRDefault="0031316A">
      <w:pPr>
        <w:spacing w:after="0" w:line="240" w:lineRule="auto"/>
      </w:pPr>
      <w:r w:rsidRPr="005206CA">
        <w:br w:type="page"/>
      </w:r>
    </w:p>
    <w:p w14:paraId="1080AD3E" w14:textId="77777777" w:rsidR="00633F48" w:rsidRPr="005206CA" w:rsidRDefault="00633F48" w:rsidP="00633F48">
      <w:pPr>
        <w:pStyle w:val="CCAFigure"/>
      </w:pPr>
      <w:bookmarkStart w:id="917" w:name="_Ref500316065"/>
      <w:bookmarkStart w:id="918" w:name="_Toc494904849"/>
      <w:bookmarkStart w:id="919" w:name="_Toc497819435"/>
      <w:bookmarkStart w:id="920" w:name="_Toc498691497"/>
      <w:bookmarkStart w:id="921" w:name="_Toc499051697"/>
      <w:bookmarkStart w:id="922" w:name="_Toc500251046"/>
      <w:bookmarkStart w:id="923" w:name="_Toc500251321"/>
      <w:bookmarkStart w:id="924" w:name="_Toc500253918"/>
      <w:bookmarkStart w:id="925" w:name="_Toc500400121"/>
      <w:bookmarkStart w:id="926" w:name="_Toc500490909"/>
      <w:bookmarkStart w:id="927" w:name="_Toc500513625"/>
      <w:bookmarkStart w:id="928" w:name="_Toc500516163"/>
      <w:r w:rsidRPr="005206CA">
        <w:t xml:space="preserve">Table </w:t>
      </w:r>
      <w:r w:rsidR="00FA2002">
        <w:fldChar w:fldCharType="begin"/>
      </w:r>
      <w:r w:rsidR="00FA2002">
        <w:instrText xml:space="preserve"> SEQ Table \* ARABIC </w:instrText>
      </w:r>
      <w:r w:rsidR="00FA2002">
        <w:fldChar w:fldCharType="separate"/>
      </w:r>
      <w:r w:rsidR="00FA2002">
        <w:rPr>
          <w:noProof/>
        </w:rPr>
        <w:t>7</w:t>
      </w:r>
      <w:r w:rsidR="00FA2002">
        <w:rPr>
          <w:noProof/>
        </w:rPr>
        <w:fldChar w:fldCharType="end"/>
      </w:r>
      <w:bookmarkEnd w:id="917"/>
      <w:r w:rsidRPr="005206CA">
        <w:t>: Number of projects and volume of abatement attributable to CSPs</w:t>
      </w:r>
      <w:bookmarkEnd w:id="918"/>
      <w:bookmarkEnd w:id="919"/>
      <w:bookmarkEnd w:id="920"/>
      <w:bookmarkEnd w:id="921"/>
      <w:bookmarkEnd w:id="922"/>
      <w:bookmarkEnd w:id="923"/>
      <w:bookmarkEnd w:id="924"/>
      <w:bookmarkEnd w:id="925"/>
      <w:bookmarkEnd w:id="926"/>
      <w:bookmarkEnd w:id="927"/>
      <w:bookmarkEnd w:id="928"/>
    </w:p>
    <w:tbl>
      <w:tblPr>
        <w:tblStyle w:val="ListTable1Light-Accent1"/>
        <w:tblW w:w="9072" w:type="dxa"/>
        <w:tblLayout w:type="fixed"/>
        <w:tblLook w:val="06E0" w:firstRow="1" w:lastRow="1" w:firstColumn="1" w:lastColumn="0" w:noHBand="1" w:noVBand="1"/>
      </w:tblPr>
      <w:tblGrid>
        <w:gridCol w:w="4536"/>
        <w:gridCol w:w="2055"/>
        <w:gridCol w:w="2481"/>
      </w:tblGrid>
      <w:tr w:rsidR="00633F48" w:rsidRPr="005206CA" w14:paraId="1D1FAC2B" w14:textId="77777777" w:rsidTr="00C327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159DCE"/>
            <w:noWrap/>
            <w:hideMark/>
          </w:tcPr>
          <w:p w14:paraId="3382D61A" w14:textId="77777777" w:rsidR="00633F48" w:rsidRPr="005B62E5" w:rsidRDefault="00633F48" w:rsidP="00633F48">
            <w:pPr>
              <w:pStyle w:val="TableHeadingRightAligned"/>
              <w:spacing w:after="0" w:line="276" w:lineRule="auto"/>
              <w:jc w:val="left"/>
              <w:rPr>
                <w:szCs w:val="16"/>
              </w:rPr>
            </w:pPr>
            <w:r w:rsidRPr="005B62E5">
              <w:rPr>
                <w:szCs w:val="16"/>
              </w:rPr>
              <w:t>CARBON SERVICE PROVIDER</w:t>
            </w:r>
          </w:p>
        </w:tc>
        <w:tc>
          <w:tcPr>
            <w:tcW w:w="2055" w:type="dxa"/>
            <w:shd w:val="clear" w:color="auto" w:fill="159DCE"/>
            <w:noWrap/>
            <w:hideMark/>
          </w:tcPr>
          <w:p w14:paraId="3D5C6E39" w14:textId="77777777" w:rsidR="00633F48" w:rsidRPr="005B62E5" w:rsidRDefault="00633F48" w:rsidP="00633F48">
            <w:pPr>
              <w:pStyle w:val="TableHeadingRightAligned"/>
              <w:spacing w:after="0" w:line="276" w:lineRule="auto"/>
              <w:cnfStyle w:val="100000000000" w:firstRow="1" w:lastRow="0" w:firstColumn="0" w:lastColumn="0" w:oddVBand="0" w:evenVBand="0" w:oddHBand="0" w:evenHBand="0" w:firstRowFirstColumn="0" w:firstRowLastColumn="0" w:lastRowFirstColumn="0" w:lastRowLastColumn="0"/>
              <w:rPr>
                <w:szCs w:val="16"/>
              </w:rPr>
            </w:pPr>
            <w:r w:rsidRPr="005B62E5">
              <w:rPr>
                <w:szCs w:val="16"/>
              </w:rPr>
              <w:t>NUMBER OF PROJECTS</w:t>
            </w:r>
          </w:p>
        </w:tc>
        <w:tc>
          <w:tcPr>
            <w:tcW w:w="2481" w:type="dxa"/>
            <w:shd w:val="clear" w:color="auto" w:fill="159DCE"/>
            <w:noWrap/>
            <w:hideMark/>
          </w:tcPr>
          <w:p w14:paraId="1DFD6530" w14:textId="77777777" w:rsidR="00633F48" w:rsidRPr="005B62E5" w:rsidRDefault="00633F48" w:rsidP="00633F48">
            <w:pPr>
              <w:pStyle w:val="TableHeadingRightAligned"/>
              <w:spacing w:after="0" w:line="276" w:lineRule="auto"/>
              <w:cnfStyle w:val="100000000000" w:firstRow="1" w:lastRow="0" w:firstColumn="0" w:lastColumn="0" w:oddVBand="0" w:evenVBand="0" w:oddHBand="0" w:evenHBand="0" w:firstRowFirstColumn="0" w:firstRowLastColumn="0" w:lastRowFirstColumn="0" w:lastRowLastColumn="0"/>
              <w:rPr>
                <w:szCs w:val="16"/>
              </w:rPr>
            </w:pPr>
            <w:r w:rsidRPr="005B62E5">
              <w:rPr>
                <w:szCs w:val="16"/>
              </w:rPr>
              <w:t>SHARE OF CONTRACTED ABATEMENT, %</w:t>
            </w:r>
          </w:p>
        </w:tc>
      </w:tr>
      <w:tr w:rsidR="00633F48" w:rsidRPr="005206CA" w14:paraId="6F48B553"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95B3D7" w:themeColor="accent1" w:themeTint="99"/>
              <w:bottom w:val="dotted" w:sz="4" w:space="0" w:color="auto"/>
            </w:tcBorders>
            <w:noWrap/>
            <w:hideMark/>
          </w:tcPr>
          <w:p w14:paraId="631CBD45"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GreenCollar</w:t>
            </w:r>
          </w:p>
        </w:tc>
        <w:tc>
          <w:tcPr>
            <w:tcW w:w="2055" w:type="dxa"/>
            <w:tcBorders>
              <w:top w:val="single" w:sz="4" w:space="0" w:color="95B3D7" w:themeColor="accent1" w:themeTint="99"/>
              <w:bottom w:val="dotted" w:sz="4" w:space="0" w:color="auto"/>
            </w:tcBorders>
            <w:noWrap/>
            <w:hideMark/>
          </w:tcPr>
          <w:p w14:paraId="6095DD20" w14:textId="77777777" w:rsidR="00633F48" w:rsidRPr="005B62E5" w:rsidRDefault="0082502B"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103</w:t>
            </w:r>
          </w:p>
        </w:tc>
        <w:tc>
          <w:tcPr>
            <w:tcW w:w="2481" w:type="dxa"/>
            <w:tcBorders>
              <w:top w:val="single" w:sz="4" w:space="0" w:color="95B3D7" w:themeColor="accent1" w:themeTint="99"/>
              <w:bottom w:val="dotted" w:sz="4" w:space="0" w:color="auto"/>
            </w:tcBorders>
            <w:noWrap/>
            <w:hideMark/>
          </w:tcPr>
          <w:p w14:paraId="70510564"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31</w:t>
            </w:r>
          </w:p>
        </w:tc>
      </w:tr>
      <w:tr w:rsidR="00633F48" w:rsidRPr="005206CA" w14:paraId="0BCC8070"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536135D9"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Corporate Carbon</w:t>
            </w:r>
          </w:p>
        </w:tc>
        <w:tc>
          <w:tcPr>
            <w:tcW w:w="2055" w:type="dxa"/>
            <w:tcBorders>
              <w:top w:val="dotted" w:sz="4" w:space="0" w:color="auto"/>
              <w:bottom w:val="dotted" w:sz="4" w:space="0" w:color="auto"/>
            </w:tcBorders>
            <w:noWrap/>
            <w:hideMark/>
          </w:tcPr>
          <w:p w14:paraId="535BBA0C"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5</w:t>
            </w:r>
            <w:r w:rsidR="0082502B" w:rsidRPr="005B62E5">
              <w:rPr>
                <w:rFonts w:eastAsia="Times New Roman" w:cs="Arial"/>
                <w:color w:val="000000" w:themeColor="text1"/>
                <w:sz w:val="16"/>
                <w:szCs w:val="16"/>
                <w:lang w:eastAsia="en-AU"/>
              </w:rPr>
              <w:t>4</w:t>
            </w:r>
          </w:p>
        </w:tc>
        <w:tc>
          <w:tcPr>
            <w:tcW w:w="2481" w:type="dxa"/>
            <w:tcBorders>
              <w:top w:val="dotted" w:sz="4" w:space="0" w:color="auto"/>
              <w:bottom w:val="dotted" w:sz="4" w:space="0" w:color="auto"/>
            </w:tcBorders>
            <w:noWrap/>
            <w:hideMark/>
          </w:tcPr>
          <w:p w14:paraId="00FD2DA3"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24</w:t>
            </w:r>
          </w:p>
        </w:tc>
      </w:tr>
      <w:tr w:rsidR="00633F48" w:rsidRPr="005206CA" w14:paraId="219F8491"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3F680156"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LMS Energy</w:t>
            </w:r>
          </w:p>
        </w:tc>
        <w:tc>
          <w:tcPr>
            <w:tcW w:w="2055" w:type="dxa"/>
            <w:tcBorders>
              <w:top w:val="dotted" w:sz="4" w:space="0" w:color="auto"/>
              <w:bottom w:val="dotted" w:sz="4" w:space="0" w:color="auto"/>
            </w:tcBorders>
            <w:noWrap/>
            <w:hideMark/>
          </w:tcPr>
          <w:p w14:paraId="14080B83"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41</w:t>
            </w:r>
          </w:p>
        </w:tc>
        <w:tc>
          <w:tcPr>
            <w:tcW w:w="2481" w:type="dxa"/>
            <w:tcBorders>
              <w:top w:val="dotted" w:sz="4" w:space="0" w:color="auto"/>
              <w:bottom w:val="dotted" w:sz="4" w:space="0" w:color="auto"/>
            </w:tcBorders>
            <w:noWrap/>
            <w:hideMark/>
          </w:tcPr>
          <w:p w14:paraId="13AE527F"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5</w:t>
            </w:r>
          </w:p>
        </w:tc>
      </w:tr>
      <w:tr w:rsidR="00633F48" w:rsidRPr="005206CA" w14:paraId="1FA9A795"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7FAD6B84"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EDL</w:t>
            </w:r>
          </w:p>
        </w:tc>
        <w:tc>
          <w:tcPr>
            <w:tcW w:w="2055" w:type="dxa"/>
            <w:tcBorders>
              <w:top w:val="dotted" w:sz="4" w:space="0" w:color="auto"/>
              <w:bottom w:val="dotted" w:sz="4" w:space="0" w:color="auto"/>
            </w:tcBorders>
            <w:noWrap/>
            <w:hideMark/>
          </w:tcPr>
          <w:p w14:paraId="3B0293AD"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16</w:t>
            </w:r>
          </w:p>
        </w:tc>
        <w:tc>
          <w:tcPr>
            <w:tcW w:w="2481" w:type="dxa"/>
            <w:tcBorders>
              <w:top w:val="dotted" w:sz="4" w:space="0" w:color="auto"/>
              <w:bottom w:val="dotted" w:sz="4" w:space="0" w:color="auto"/>
            </w:tcBorders>
            <w:noWrap/>
            <w:hideMark/>
          </w:tcPr>
          <w:p w14:paraId="6CE81CE6"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3</w:t>
            </w:r>
          </w:p>
        </w:tc>
      </w:tr>
      <w:tr w:rsidR="00633F48" w:rsidRPr="005206CA" w14:paraId="1C99964F"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4A8EB4B4"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Country Carbon</w:t>
            </w:r>
          </w:p>
        </w:tc>
        <w:tc>
          <w:tcPr>
            <w:tcW w:w="2055" w:type="dxa"/>
            <w:tcBorders>
              <w:top w:val="dotted" w:sz="4" w:space="0" w:color="auto"/>
              <w:bottom w:val="dotted" w:sz="4" w:space="0" w:color="auto"/>
            </w:tcBorders>
            <w:noWrap/>
            <w:hideMark/>
          </w:tcPr>
          <w:p w14:paraId="5FB7325C" w14:textId="77777777" w:rsidR="00633F48" w:rsidRPr="005B62E5" w:rsidRDefault="0082502B"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2</w:t>
            </w:r>
            <w:r w:rsidR="00633F48" w:rsidRPr="005B62E5">
              <w:rPr>
                <w:rFonts w:eastAsia="Times New Roman" w:cs="Arial"/>
                <w:color w:val="000000" w:themeColor="text1"/>
                <w:sz w:val="16"/>
                <w:szCs w:val="16"/>
                <w:lang w:eastAsia="en-AU"/>
              </w:rPr>
              <w:t>6</w:t>
            </w:r>
          </w:p>
        </w:tc>
        <w:tc>
          <w:tcPr>
            <w:tcW w:w="2481" w:type="dxa"/>
            <w:tcBorders>
              <w:top w:val="dotted" w:sz="4" w:space="0" w:color="auto"/>
              <w:bottom w:val="dotted" w:sz="4" w:space="0" w:color="auto"/>
            </w:tcBorders>
            <w:noWrap/>
            <w:hideMark/>
          </w:tcPr>
          <w:p w14:paraId="1213CC84"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2</w:t>
            </w:r>
          </w:p>
        </w:tc>
      </w:tr>
      <w:tr w:rsidR="00633F48" w:rsidRPr="005206CA" w14:paraId="56F992F7"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4B280A93"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Devine Agribusiness Carbon</w:t>
            </w:r>
          </w:p>
        </w:tc>
        <w:tc>
          <w:tcPr>
            <w:tcW w:w="2055" w:type="dxa"/>
            <w:tcBorders>
              <w:top w:val="dotted" w:sz="4" w:space="0" w:color="auto"/>
              <w:bottom w:val="dotted" w:sz="4" w:space="0" w:color="auto"/>
            </w:tcBorders>
            <w:noWrap/>
            <w:hideMark/>
          </w:tcPr>
          <w:p w14:paraId="5A2A73E1"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33</w:t>
            </w:r>
          </w:p>
        </w:tc>
        <w:tc>
          <w:tcPr>
            <w:tcW w:w="2481" w:type="dxa"/>
            <w:tcBorders>
              <w:top w:val="dotted" w:sz="4" w:space="0" w:color="auto"/>
              <w:bottom w:val="dotted" w:sz="4" w:space="0" w:color="auto"/>
            </w:tcBorders>
            <w:noWrap/>
            <w:hideMark/>
          </w:tcPr>
          <w:p w14:paraId="29AC6DB5"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2</w:t>
            </w:r>
          </w:p>
        </w:tc>
      </w:tr>
      <w:tr w:rsidR="00633F48" w:rsidRPr="005206CA" w14:paraId="0C3459A4"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3F88023F" w14:textId="77777777" w:rsidR="00633F48" w:rsidRPr="005B62E5" w:rsidRDefault="00633F48" w:rsidP="004B1F4F">
            <w:pPr>
              <w:spacing w:after="0" w:line="240" w:lineRule="auto"/>
              <w:ind w:left="720" w:hanging="720"/>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Australian Integrated Carbon Financial Services</w:t>
            </w:r>
          </w:p>
        </w:tc>
        <w:tc>
          <w:tcPr>
            <w:tcW w:w="2055" w:type="dxa"/>
            <w:tcBorders>
              <w:top w:val="dotted" w:sz="4" w:space="0" w:color="auto"/>
              <w:bottom w:val="dotted" w:sz="4" w:space="0" w:color="auto"/>
            </w:tcBorders>
            <w:noWrap/>
            <w:hideMark/>
          </w:tcPr>
          <w:p w14:paraId="5FCAEFAB" w14:textId="77777777" w:rsidR="00633F48" w:rsidRPr="005B62E5" w:rsidRDefault="0082502B"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11</w:t>
            </w:r>
          </w:p>
        </w:tc>
        <w:tc>
          <w:tcPr>
            <w:tcW w:w="2481" w:type="dxa"/>
            <w:tcBorders>
              <w:top w:val="dotted" w:sz="4" w:space="0" w:color="auto"/>
              <w:bottom w:val="dotted" w:sz="4" w:space="0" w:color="auto"/>
            </w:tcBorders>
            <w:noWrap/>
            <w:hideMark/>
          </w:tcPr>
          <w:p w14:paraId="07596996"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0</w:t>
            </w:r>
          </w:p>
        </w:tc>
      </w:tr>
      <w:tr w:rsidR="00633F48" w:rsidRPr="005206CA" w14:paraId="0D58B303"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4F5F9A41"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Other CSPs</w:t>
            </w:r>
          </w:p>
        </w:tc>
        <w:tc>
          <w:tcPr>
            <w:tcW w:w="2055" w:type="dxa"/>
            <w:tcBorders>
              <w:top w:val="dotted" w:sz="4" w:space="0" w:color="auto"/>
              <w:bottom w:val="dotted" w:sz="4" w:space="0" w:color="auto"/>
            </w:tcBorders>
            <w:noWrap/>
            <w:hideMark/>
          </w:tcPr>
          <w:p w14:paraId="21AD99DD" w14:textId="77777777" w:rsidR="00633F48" w:rsidRPr="005B62E5" w:rsidRDefault="0082502B"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69</w:t>
            </w:r>
          </w:p>
        </w:tc>
        <w:tc>
          <w:tcPr>
            <w:tcW w:w="2481" w:type="dxa"/>
            <w:tcBorders>
              <w:top w:val="dotted" w:sz="4" w:space="0" w:color="auto"/>
              <w:bottom w:val="dotted" w:sz="4" w:space="0" w:color="auto"/>
            </w:tcBorders>
            <w:noWrap/>
            <w:hideMark/>
          </w:tcPr>
          <w:p w14:paraId="1BF47C7E"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8</w:t>
            </w:r>
          </w:p>
        </w:tc>
      </w:tr>
      <w:tr w:rsidR="00633F48" w:rsidRPr="005206CA" w14:paraId="19781667" w14:textId="77777777" w:rsidTr="005B62E5">
        <w:trPr>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bottom w:val="dotted" w:sz="4" w:space="0" w:color="auto"/>
            </w:tcBorders>
            <w:noWrap/>
            <w:hideMark/>
          </w:tcPr>
          <w:p w14:paraId="1ED82746"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Other participants</w:t>
            </w:r>
          </w:p>
        </w:tc>
        <w:tc>
          <w:tcPr>
            <w:tcW w:w="2055" w:type="dxa"/>
            <w:tcBorders>
              <w:top w:val="dotted" w:sz="4" w:space="0" w:color="auto"/>
              <w:bottom w:val="dotted" w:sz="4" w:space="0" w:color="auto"/>
            </w:tcBorders>
            <w:noWrap/>
            <w:hideMark/>
          </w:tcPr>
          <w:p w14:paraId="65677036"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3</w:t>
            </w:r>
            <w:r w:rsidR="0082502B" w:rsidRPr="005B62E5">
              <w:rPr>
                <w:rFonts w:eastAsia="Times New Roman" w:cs="Arial"/>
                <w:color w:val="000000" w:themeColor="text1"/>
                <w:sz w:val="16"/>
                <w:szCs w:val="16"/>
                <w:lang w:eastAsia="en-AU"/>
              </w:rPr>
              <w:t>30</w:t>
            </w:r>
          </w:p>
        </w:tc>
        <w:tc>
          <w:tcPr>
            <w:tcW w:w="2481" w:type="dxa"/>
            <w:tcBorders>
              <w:top w:val="dotted" w:sz="4" w:space="0" w:color="auto"/>
              <w:bottom w:val="dotted" w:sz="4" w:space="0" w:color="auto"/>
            </w:tcBorders>
            <w:noWrap/>
            <w:hideMark/>
          </w:tcPr>
          <w:p w14:paraId="4C48A1E8" w14:textId="77777777" w:rsidR="00633F48" w:rsidRPr="005B62E5" w:rsidRDefault="00633F48" w:rsidP="004B1F4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lang w:eastAsia="en-AU"/>
              </w:rPr>
            </w:pPr>
            <w:r w:rsidRPr="005B62E5">
              <w:rPr>
                <w:rFonts w:eastAsia="Times New Roman" w:cs="Arial"/>
                <w:color w:val="000000" w:themeColor="text1"/>
                <w:sz w:val="16"/>
                <w:szCs w:val="16"/>
                <w:lang w:eastAsia="en-AU"/>
              </w:rPr>
              <w:t>26</w:t>
            </w:r>
          </w:p>
        </w:tc>
      </w:tr>
      <w:tr w:rsidR="00633F48" w:rsidRPr="005206CA" w14:paraId="7816EBC2" w14:textId="77777777" w:rsidTr="005B62E5">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6" w:type="dxa"/>
            <w:tcBorders>
              <w:top w:val="dotted" w:sz="4" w:space="0" w:color="auto"/>
            </w:tcBorders>
            <w:noWrap/>
            <w:hideMark/>
          </w:tcPr>
          <w:p w14:paraId="2F002E15" w14:textId="77777777" w:rsidR="00633F48" w:rsidRPr="005B62E5" w:rsidRDefault="00633F48" w:rsidP="004B1F4F">
            <w:pPr>
              <w:spacing w:after="0" w:line="240" w:lineRule="auto"/>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Total</w:t>
            </w:r>
          </w:p>
        </w:tc>
        <w:tc>
          <w:tcPr>
            <w:tcW w:w="2055" w:type="dxa"/>
            <w:tcBorders>
              <w:top w:val="dotted" w:sz="4" w:space="0" w:color="auto"/>
            </w:tcBorders>
            <w:noWrap/>
            <w:hideMark/>
          </w:tcPr>
          <w:p w14:paraId="34F4AC1A" w14:textId="77777777" w:rsidR="00633F48" w:rsidRPr="005B62E5" w:rsidRDefault="0082502B" w:rsidP="004B1F4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683</w:t>
            </w:r>
          </w:p>
        </w:tc>
        <w:tc>
          <w:tcPr>
            <w:tcW w:w="2481" w:type="dxa"/>
            <w:tcBorders>
              <w:top w:val="dotted" w:sz="4" w:space="0" w:color="auto"/>
            </w:tcBorders>
            <w:noWrap/>
            <w:hideMark/>
          </w:tcPr>
          <w:p w14:paraId="297B3E6F" w14:textId="77777777" w:rsidR="00633F48" w:rsidRPr="005B62E5" w:rsidRDefault="00633F48" w:rsidP="004B1F4F">
            <w:pPr>
              <w:spacing w:after="0" w:line="240" w:lineRule="auto"/>
              <w:jc w:val="right"/>
              <w:cnfStyle w:val="010000000000" w:firstRow="0" w:lastRow="1" w:firstColumn="0" w:lastColumn="0" w:oddVBand="0" w:evenVBand="0" w:oddHBand="0" w:evenHBand="0" w:firstRowFirstColumn="0" w:firstRowLastColumn="0" w:lastRowFirstColumn="0" w:lastRowLastColumn="0"/>
              <w:rPr>
                <w:rFonts w:eastAsia="Times New Roman" w:cs="Arial"/>
                <w:b w:val="0"/>
                <w:color w:val="000000" w:themeColor="text1"/>
                <w:sz w:val="16"/>
                <w:szCs w:val="16"/>
                <w:lang w:eastAsia="en-AU"/>
              </w:rPr>
            </w:pPr>
            <w:r w:rsidRPr="005B62E5">
              <w:rPr>
                <w:rFonts w:eastAsia="Times New Roman" w:cs="Arial"/>
                <w:color w:val="000000" w:themeColor="text1"/>
                <w:sz w:val="16"/>
                <w:szCs w:val="16"/>
                <w:lang w:eastAsia="en-AU"/>
              </w:rPr>
              <w:t>100</w:t>
            </w:r>
          </w:p>
        </w:tc>
      </w:tr>
    </w:tbl>
    <w:p w14:paraId="01F18F53" w14:textId="778A3E93" w:rsidR="00B8708F" w:rsidRPr="005206CA" w:rsidRDefault="00B8708F" w:rsidP="005B62E5">
      <w:pPr>
        <w:pStyle w:val="Footnote"/>
        <w:spacing w:after="0"/>
      </w:pPr>
      <w:r w:rsidRPr="005B62E5">
        <w:rPr>
          <w:b/>
        </w:rPr>
        <w:t>Note</w:t>
      </w:r>
      <w:r w:rsidRPr="005206CA">
        <w:t>: GreenCollar projects are listed in the project and contract registers under the trading name Terra Carbon Pty Limited. Projects and contracts for various state EDL branches have been aggregated.</w:t>
      </w:r>
      <w:r w:rsidR="008E166E" w:rsidRPr="008E166E">
        <w:t xml:space="preserve"> </w:t>
      </w:r>
      <w:r w:rsidR="008E166E" w:rsidRPr="005206CA">
        <w:t>Data as at 16 November 2017.</w:t>
      </w:r>
    </w:p>
    <w:p w14:paraId="225F5D9A" w14:textId="36E29249" w:rsidR="00633F48" w:rsidRPr="005206CA" w:rsidRDefault="00633F48" w:rsidP="005B62E5">
      <w:pPr>
        <w:pStyle w:val="Footnote"/>
        <w:spacing w:after="0"/>
      </w:pPr>
      <w:r w:rsidRPr="005206CA">
        <w:rPr>
          <w:b/>
        </w:rPr>
        <w:t>Source</w:t>
      </w:r>
      <w:r w:rsidRPr="005206CA">
        <w:t xml:space="preserve">: </w:t>
      </w:r>
      <w:r w:rsidR="00AD5389" w:rsidRPr="005206CA">
        <w:t xml:space="preserve">Climate Change Authority based on CER </w:t>
      </w:r>
      <w:r w:rsidR="00B4754E" w:rsidRPr="005206CA">
        <w:t>2017k</w:t>
      </w:r>
      <w:r w:rsidR="00AD5389" w:rsidRPr="005206CA">
        <w:t>,</w:t>
      </w:r>
      <w:r w:rsidR="00447223">
        <w:t>n</w:t>
      </w:r>
      <w:r w:rsidR="00AD5389" w:rsidRPr="005206CA">
        <w:t xml:space="preserve">. </w:t>
      </w:r>
    </w:p>
    <w:p w14:paraId="2A2BD28A" w14:textId="77777777" w:rsidR="003D6D22" w:rsidRPr="005206CA" w:rsidRDefault="003D6D22" w:rsidP="005B62E5">
      <w:pPr>
        <w:pStyle w:val="Footnote"/>
        <w:spacing w:after="0"/>
      </w:pPr>
    </w:p>
    <w:p w14:paraId="3F96949E" w14:textId="1C8C0B15" w:rsidR="00897FA3" w:rsidRPr="005206CA" w:rsidRDefault="00897FA3" w:rsidP="00897FA3">
      <w:r w:rsidRPr="005206CA">
        <w:t>To date, CSPs have appeared to specialise in delivering projects in specific sectors using a relatively small number of ERF methods. For example, the projects registered by GreenCollar are all under the avoided deforestation, human</w:t>
      </w:r>
      <w:r w:rsidR="000A6216" w:rsidRPr="005206CA">
        <w:t>-</w:t>
      </w:r>
      <w:r w:rsidRPr="005206CA">
        <w:t xml:space="preserve">induced regeneration and avoided clearing of native regrowth methods. Of the projects registered by Corporate Carbon, almost three quarters use only two ERF methods – savanna burning and soil carbon sequestration in grazing systems. Outside of the land sector, methods with the most uptake by the ten CSPs with the greatest volume of contracted abatement are in the waste sector with </w:t>
      </w:r>
      <w:r w:rsidR="00696574" w:rsidRPr="005206CA">
        <w:t>66</w:t>
      </w:r>
      <w:r w:rsidRPr="005206CA">
        <w:t xml:space="preserve"> registered projects </w:t>
      </w:r>
      <w:r w:rsidR="00B6367C" w:rsidRPr="005206CA">
        <w:t>with these CSPs</w:t>
      </w:r>
      <w:r w:rsidRPr="005206CA">
        <w:t>.</w:t>
      </w:r>
    </w:p>
    <w:p w14:paraId="0ED049AB" w14:textId="7EDCCD14" w:rsidR="00897FA3" w:rsidRPr="005206CA" w:rsidRDefault="00897FA3" w:rsidP="00897FA3">
      <w:r w:rsidRPr="005206CA">
        <w:t>The dominance of a few providers in the CSP market may lead to concerns</w:t>
      </w:r>
      <w:r w:rsidR="004B11ED" w:rsidRPr="005206CA">
        <w:t xml:space="preserve"> (</w:t>
      </w:r>
      <w:r w:rsidR="001F6705">
        <w:rPr>
          <w:rStyle w:val="In-textChar"/>
        </w:rPr>
        <w:t xml:space="preserve">Blakers &amp; </w:t>
      </w:r>
      <w:r w:rsidR="001F6705" w:rsidRPr="005206CA">
        <w:rPr>
          <w:rStyle w:val="In-textChar"/>
        </w:rPr>
        <w:t>Considine</w:t>
      </w:r>
      <w:r w:rsidR="004B11ED" w:rsidRPr="00E65370">
        <w:rPr>
          <w:rStyle w:val="In-textChar"/>
        </w:rPr>
        <w:t xml:space="preserve"> 2016</w:t>
      </w:r>
      <w:r w:rsidR="004B11ED" w:rsidRPr="005206CA">
        <w:t>)</w:t>
      </w:r>
      <w:r w:rsidR="00CA20D8" w:rsidRPr="005206CA">
        <w:t>, including</w:t>
      </w:r>
      <w:r w:rsidRPr="005206CA">
        <w:t xml:space="preserve"> about competitiveness. From an economic perspective, dominance of a few providers does not necessarily lead to a lack of competition. The A</w:t>
      </w:r>
      <w:r w:rsidR="0045781A" w:rsidRPr="005206CA">
        <w:t xml:space="preserve">ustralian </w:t>
      </w:r>
      <w:r w:rsidRPr="005206CA">
        <w:t>C</w:t>
      </w:r>
      <w:r w:rsidR="0045781A" w:rsidRPr="005206CA">
        <w:t xml:space="preserve">ompetition and </w:t>
      </w:r>
      <w:r w:rsidRPr="005206CA">
        <w:t>C</w:t>
      </w:r>
      <w:r w:rsidR="0045781A" w:rsidRPr="005206CA">
        <w:t xml:space="preserve">onsumer </w:t>
      </w:r>
      <w:r w:rsidRPr="005206CA">
        <w:t>C</w:t>
      </w:r>
      <w:r w:rsidR="0045781A" w:rsidRPr="005206CA">
        <w:t>ommission (ACCC)</w:t>
      </w:r>
      <w:r w:rsidRPr="005206CA">
        <w:t xml:space="preserve"> has responsibility for regulating markets where there are competitiveness concerns. If reasonable concerns were raised around a lack of competition and abuse of market power, the ACCC has the power and authority to investigate market participants. </w:t>
      </w:r>
    </w:p>
    <w:p w14:paraId="67A6D78C" w14:textId="77777777" w:rsidR="00897FA3" w:rsidRPr="005206CA" w:rsidRDefault="00897FA3" w:rsidP="00897FA3">
      <w:r w:rsidRPr="005206CA">
        <w:t xml:space="preserve">If there are no significant barriers to entry, low levels of competition and significant opportunities to generate profits, economic theory says that new entrants are encouraged, which can lead to increased competition. In terms of providing services for establishing and running ERF projects, there appear to be no regulatory barriers or, in general, significant capital investment requirements. The most significant barrier to entry is likely to be knowledge and understanding of the ERF methods and requirements and uncertainty around future demand for ERF projects. Provided the ERF continues to operate in some form, with no systemic barriers to entry, it could be expected that competition in the CSP market will increase as the market matures and knowledge and understanding of the scheme improves. </w:t>
      </w:r>
    </w:p>
    <w:p w14:paraId="06A7F911" w14:textId="77777777" w:rsidR="00897FA3" w:rsidRPr="005206CA" w:rsidRDefault="00897FA3" w:rsidP="00897FA3">
      <w:r w:rsidRPr="005206CA">
        <w:t xml:space="preserve">Other concerns that are related to the dominance of a few CSPs are briefly outlined below. </w:t>
      </w:r>
    </w:p>
    <w:p w14:paraId="750AC788" w14:textId="3AEAF77B" w:rsidR="00897FA3" w:rsidRPr="005206CA" w:rsidRDefault="00897FA3" w:rsidP="00633F48">
      <w:pPr>
        <w:pStyle w:val="ListBullet"/>
      </w:pPr>
      <w:r w:rsidRPr="005206CA">
        <w:t>In terms of participating in CER auctions and supplying A</w:t>
      </w:r>
      <w:r w:rsidR="0045781A" w:rsidRPr="005206CA">
        <w:t xml:space="preserve">ustralian </w:t>
      </w:r>
      <w:r w:rsidRPr="005206CA">
        <w:t>C</w:t>
      </w:r>
      <w:r w:rsidR="0045781A" w:rsidRPr="005206CA">
        <w:t xml:space="preserve">arbon </w:t>
      </w:r>
      <w:r w:rsidRPr="005206CA">
        <w:t>C</w:t>
      </w:r>
      <w:r w:rsidR="0045781A" w:rsidRPr="005206CA">
        <w:t xml:space="preserve">redit </w:t>
      </w:r>
      <w:r w:rsidRPr="005206CA">
        <w:t>U</w:t>
      </w:r>
      <w:r w:rsidR="0045781A" w:rsidRPr="005206CA">
        <w:t>nit</w:t>
      </w:r>
      <w:r w:rsidRPr="005206CA">
        <w:t xml:space="preserve">s </w:t>
      </w:r>
      <w:r w:rsidR="0045781A" w:rsidRPr="005206CA">
        <w:t xml:space="preserve">(ACCUs) </w:t>
      </w:r>
      <w:r w:rsidRPr="005206CA">
        <w:t>to the Government, concentration of the market with a few providers has the potential to lead to higher prices if not carefully monitored and managed.</w:t>
      </w:r>
    </w:p>
    <w:p w14:paraId="39959BC0" w14:textId="1FF517EE" w:rsidR="00897FA3" w:rsidRPr="005206CA" w:rsidRDefault="00897FA3" w:rsidP="00633F48">
      <w:pPr>
        <w:pStyle w:val="ListBullet"/>
      </w:pPr>
      <w:r w:rsidRPr="005206CA">
        <w:t xml:space="preserve">Concentration of contracted abatement with a small number of CSPs may lead to a delivery risk if one or more of those CSPs fail in their role as </w:t>
      </w:r>
      <w:r w:rsidR="007E5547" w:rsidRPr="005206CA">
        <w:t>scheme participants</w:t>
      </w:r>
      <w:r w:rsidRPr="005206CA">
        <w:t xml:space="preserve"> and aggregators and abatement cannot be delivered. </w:t>
      </w:r>
    </w:p>
    <w:p w14:paraId="3B84EB98" w14:textId="6DE591D4" w:rsidR="00897FA3" w:rsidRPr="005206CA" w:rsidRDefault="00897FA3" w:rsidP="00633F48">
      <w:pPr>
        <w:pStyle w:val="ListBullet"/>
      </w:pPr>
      <w:r w:rsidRPr="005206CA">
        <w:t xml:space="preserve">In terms of policy and method development, having a small number of dominant </w:t>
      </w:r>
      <w:r w:rsidR="001213C9">
        <w:t xml:space="preserve">scheme </w:t>
      </w:r>
      <w:r w:rsidRPr="005206CA">
        <w:t xml:space="preserve">participants means a limited number of parties controls a significant volume of contracted abatement. Policy developments that aid the large players may reinforce their dominance. </w:t>
      </w:r>
    </w:p>
    <w:p w14:paraId="754EEDB3" w14:textId="77B483A1" w:rsidR="00897FA3" w:rsidRPr="005206CA" w:rsidRDefault="00897FA3" w:rsidP="00633F48">
      <w:pPr>
        <w:pStyle w:val="ListBullet"/>
      </w:pPr>
      <w:r w:rsidRPr="005206CA">
        <w:t xml:space="preserve">Having most of the ACCUs held by large CSPs or their clients limits transparency unless holdings and deliveries are disclosed and may hinder further development of the secondary market for other </w:t>
      </w:r>
      <w:r w:rsidR="001213C9">
        <w:t xml:space="preserve">scheme </w:t>
      </w:r>
      <w:r w:rsidRPr="005206CA">
        <w:t xml:space="preserve">participants. This is discussed further in </w:t>
      </w:r>
      <w:r w:rsidR="00E82831" w:rsidRPr="005206CA">
        <w:rPr>
          <w:rStyle w:val="SectionChapterChar"/>
        </w:rPr>
        <w:fldChar w:fldCharType="begin"/>
      </w:r>
      <w:r w:rsidR="00E82831" w:rsidRPr="0033387E">
        <w:rPr>
          <w:rStyle w:val="SectionChapterChar"/>
        </w:rPr>
        <w:instrText xml:space="preserve"> REF _Ref497377801 \w \h </w:instrText>
      </w:r>
      <w:r w:rsidR="00E82831" w:rsidRP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Chapter 11</w:t>
      </w:r>
      <w:r w:rsidR="00E82831" w:rsidRPr="005206CA">
        <w:rPr>
          <w:rStyle w:val="SectionChapterChar"/>
        </w:rPr>
        <w:fldChar w:fldCharType="end"/>
      </w:r>
      <w:r w:rsidRPr="00AC7279">
        <w:rPr>
          <w:rStyle w:val="SectionChapterChar"/>
        </w:rPr>
        <w:t xml:space="preserve">. </w:t>
      </w:r>
    </w:p>
    <w:p w14:paraId="7001D0CE" w14:textId="63250FE2" w:rsidR="00897FA3" w:rsidRPr="005206CA" w:rsidRDefault="00897FA3" w:rsidP="00897FA3">
      <w:r w:rsidRPr="005206CA">
        <w:t xml:space="preserve">Despite these potential concerns, the Authority is of the view that the CER and </w:t>
      </w:r>
      <w:r w:rsidR="00F37384" w:rsidRPr="005206CA">
        <w:t>the Department</w:t>
      </w:r>
      <w:r w:rsidRPr="005206CA">
        <w:t xml:space="preserve"> </w:t>
      </w:r>
      <w:r w:rsidR="0045781A" w:rsidRPr="005206CA">
        <w:t xml:space="preserve">of the Environment and Energy </w:t>
      </w:r>
      <w:r w:rsidRPr="005206CA">
        <w:t>are generally monitoring and managing these risks well and the implementation of recommendations (in this and related chapters) by the Authority can further reduce these risks.</w:t>
      </w:r>
    </w:p>
    <w:p w14:paraId="10B45484" w14:textId="77FB5CE0" w:rsidR="00897FA3" w:rsidRPr="005206CA" w:rsidRDefault="00633F48">
      <w:pPr>
        <w:pStyle w:val="Heading2"/>
      </w:pPr>
      <w:bookmarkStart w:id="929" w:name="_Toc497819486"/>
      <w:bookmarkStart w:id="930" w:name="_Toc498691553"/>
      <w:bookmarkStart w:id="931" w:name="_Toc499043734"/>
      <w:bookmarkStart w:id="932" w:name="_Toc499051759"/>
      <w:bookmarkStart w:id="933" w:name="_Ref500246536"/>
      <w:bookmarkStart w:id="934" w:name="_Ref500246544"/>
      <w:bookmarkStart w:id="935" w:name="_Toc500251110"/>
      <w:bookmarkStart w:id="936" w:name="_Toc500251385"/>
      <w:bookmarkStart w:id="937" w:name="_Toc500253982"/>
      <w:bookmarkStart w:id="938" w:name="_Toc500401489"/>
      <w:bookmarkStart w:id="939" w:name="_Toc500490973"/>
      <w:bookmarkStart w:id="940" w:name="_Toc500512915"/>
      <w:bookmarkStart w:id="941" w:name="_Toc500514170"/>
      <w:bookmarkStart w:id="942" w:name="_Toc500516227"/>
      <w:r w:rsidRPr="005206CA">
        <w:t>Industry</w:t>
      </w:r>
      <w:r w:rsidR="004D5389">
        <w:t>-</w:t>
      </w:r>
      <w:r w:rsidRPr="005206CA">
        <w:t xml:space="preserve">led code of </w:t>
      </w:r>
      <w:bookmarkEnd w:id="929"/>
      <w:bookmarkEnd w:id="930"/>
      <w:bookmarkEnd w:id="931"/>
      <w:bookmarkEnd w:id="932"/>
      <w:bookmarkEnd w:id="933"/>
      <w:bookmarkEnd w:id="934"/>
      <w:bookmarkEnd w:id="935"/>
      <w:bookmarkEnd w:id="936"/>
      <w:bookmarkEnd w:id="937"/>
      <w:bookmarkEnd w:id="938"/>
      <w:bookmarkEnd w:id="939"/>
      <w:bookmarkEnd w:id="940"/>
      <w:bookmarkEnd w:id="941"/>
      <w:r w:rsidR="004D5389">
        <w:t>conduct</w:t>
      </w:r>
      <w:bookmarkEnd w:id="942"/>
    </w:p>
    <w:p w14:paraId="711B1229" w14:textId="5150B864" w:rsidR="00897FA3" w:rsidRPr="005206CA" w:rsidRDefault="00897FA3" w:rsidP="00897FA3">
      <w:r w:rsidRPr="005206CA">
        <w:t>Some stakeholders have raised concerns about CSPs behaving unscrupulously</w:t>
      </w:r>
      <w:r w:rsidR="00194D2D" w:rsidRPr="005206CA">
        <w:t xml:space="preserve"> (see for example National Farmers’ Federation submission on the </w:t>
      </w:r>
      <w:r w:rsidR="00194D2D" w:rsidRPr="005206CA">
        <w:rPr>
          <w:i/>
        </w:rPr>
        <w:t>A</w:t>
      </w:r>
      <w:r w:rsidR="00662776" w:rsidRPr="005206CA">
        <w:rPr>
          <w:i/>
        </w:rPr>
        <w:t>ction on the Land</w:t>
      </w:r>
      <w:r w:rsidR="00662776" w:rsidRPr="005206CA">
        <w:t xml:space="preserve"> issues paper</w:t>
      </w:r>
      <w:r w:rsidR="00E363A6" w:rsidRPr="005206CA">
        <w:t>)</w:t>
      </w:r>
      <w:r w:rsidRPr="005206CA">
        <w:t xml:space="preserve">. While the </w:t>
      </w:r>
      <w:r w:rsidR="002C7ED4">
        <w:t>F</w:t>
      </w:r>
      <w:r w:rsidRPr="005206CA">
        <w:t xml:space="preserve">it and </w:t>
      </w:r>
      <w:r w:rsidR="002C7ED4">
        <w:t>P</w:t>
      </w:r>
      <w:r w:rsidRPr="005206CA">
        <w:t xml:space="preserve">roper </w:t>
      </w:r>
      <w:r w:rsidR="002C7ED4">
        <w:t>P</w:t>
      </w:r>
      <w:r w:rsidRPr="005206CA">
        <w:t>erson</w:t>
      </w:r>
      <w:r w:rsidR="0045781A" w:rsidRPr="005206CA">
        <w:t xml:space="preserve"> (FPP)</w:t>
      </w:r>
      <w:r w:rsidRPr="005206CA">
        <w:t xml:space="preserve"> test applies to CSPs who are scheme participants, those who are not do not need to pass the </w:t>
      </w:r>
      <w:r w:rsidR="0045781A" w:rsidRPr="005206CA">
        <w:t>FPP</w:t>
      </w:r>
      <w:r w:rsidR="0031316A" w:rsidRPr="005206CA">
        <w:t xml:space="preserve"> test (</w:t>
      </w:r>
      <w:r w:rsidR="0031316A" w:rsidRPr="00AC7279">
        <w:rPr>
          <w:rStyle w:val="SectionChapterChar"/>
        </w:rPr>
        <w:t xml:space="preserve">Section </w:t>
      </w:r>
      <w:r w:rsidR="00A65550">
        <w:rPr>
          <w:rStyle w:val="SectionChapterChar"/>
        </w:rPr>
        <w:fldChar w:fldCharType="begin"/>
      </w:r>
      <w:r w:rsidR="00A65550">
        <w:rPr>
          <w:rStyle w:val="SectionChapterChar"/>
        </w:rPr>
        <w:instrText xml:space="preserve"> REF _Ref500332033 \n \h </w:instrText>
      </w:r>
      <w:r w:rsidR="00A65550">
        <w:rPr>
          <w:rStyle w:val="SectionChapterChar"/>
        </w:rPr>
      </w:r>
      <w:r w:rsidR="00A65550">
        <w:rPr>
          <w:rStyle w:val="SectionChapterChar"/>
        </w:rPr>
        <w:fldChar w:fldCharType="separate"/>
      </w:r>
      <w:r w:rsidR="00FA2002">
        <w:rPr>
          <w:rStyle w:val="SectionChapterChar"/>
        </w:rPr>
        <w:t>6.5</w:t>
      </w:r>
      <w:r w:rsidR="00A65550">
        <w:rPr>
          <w:rStyle w:val="SectionChapterChar"/>
        </w:rPr>
        <w:fldChar w:fldCharType="end"/>
      </w:r>
      <w:r w:rsidR="0031316A" w:rsidRPr="005206CA">
        <w:t>). As outlined below, the Authority recommends</w:t>
      </w:r>
      <w:r w:rsidRPr="005206CA">
        <w:t xml:space="preserve"> that the </w:t>
      </w:r>
      <w:r w:rsidR="0045781A" w:rsidRPr="005206CA">
        <w:t>FPP</w:t>
      </w:r>
      <w:r w:rsidRPr="005206CA">
        <w:t xml:space="preserve"> test be extended to </w:t>
      </w:r>
      <w:r w:rsidR="00AE0B04" w:rsidRPr="005206CA">
        <w:t xml:space="preserve">designated </w:t>
      </w:r>
      <w:r w:rsidRPr="005206CA">
        <w:t>agents.</w:t>
      </w:r>
    </w:p>
    <w:p w14:paraId="3694904D" w14:textId="77777777" w:rsidR="00897FA3" w:rsidRPr="005206CA" w:rsidRDefault="00897FA3" w:rsidP="00897FA3">
      <w:r w:rsidRPr="005206CA">
        <w:t xml:space="preserve">In response to concerns raised in the industry, the Carbon Project Developers Council is currently developing an industry-led voluntary code of conduct for CSPs. </w:t>
      </w:r>
    </w:p>
    <w:p w14:paraId="7C70B8E7" w14:textId="59F546E8" w:rsidR="00897FA3" w:rsidRPr="005206CA" w:rsidRDefault="00897FA3" w:rsidP="00C22432">
      <w:pPr>
        <w:pStyle w:val="SectionChapter"/>
      </w:pPr>
      <w:r w:rsidRPr="005206CA">
        <w:t>The code has a number of aims including to provide a best practice approach for engagement. The code specifies that CSPs must inform clients of the costs, benefits and risks of undertaking a project, including for sequestration projects, the implications of the permanence and carbon maintenance obligations and choice of permanence period, as well as the consequences of reversal (</w:t>
      </w:r>
      <w:r w:rsidR="00E82831" w:rsidRPr="005206CA">
        <w:rPr>
          <w:rStyle w:val="SectionChapterChar"/>
        </w:rPr>
        <w:fldChar w:fldCharType="begin"/>
      </w:r>
      <w:r w:rsidR="00E82831" w:rsidRPr="005206CA">
        <w:instrText xml:space="preserve"> REF _Ref500247219 \w \h </w:instrText>
      </w:r>
      <w:r w:rsid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t>Chapter 5</w:t>
      </w:r>
      <w:r w:rsidR="00E82831" w:rsidRPr="005206CA">
        <w:rPr>
          <w:rStyle w:val="SectionChapterChar"/>
        </w:rPr>
        <w:fldChar w:fldCharType="end"/>
      </w:r>
      <w:r w:rsidRPr="005206CA">
        <w:t>).</w:t>
      </w:r>
    </w:p>
    <w:p w14:paraId="0B727B72" w14:textId="77777777" w:rsidR="00897FA3" w:rsidRPr="005206CA" w:rsidRDefault="00897FA3" w:rsidP="00897FA3">
      <w:r w:rsidRPr="005206CA">
        <w:t xml:space="preserve">To become code signatories, CSPs must demonstrate that they comply with the code and have the systems and procedures in place to ensure ongoing compliance with the ERF. As such, this code may assist stakeholders to distinguish between CSPs and contract only with those who have signed the code. Once fully developed and implemented, the code may deter unscrupulous behaviour by CSPs by implementing a process for monitoring compliance with the code and enforcing sanctions for breaches. On the other hand, as the code will be voluntary, any rogue operators may just decide not to participate. </w:t>
      </w:r>
    </w:p>
    <w:p w14:paraId="41F66BE7" w14:textId="77777777" w:rsidR="00897FA3" w:rsidRPr="005206CA" w:rsidRDefault="00633F48">
      <w:pPr>
        <w:pStyle w:val="Heading2"/>
      </w:pPr>
      <w:bookmarkStart w:id="943" w:name="_Toc497819487"/>
      <w:bookmarkStart w:id="944" w:name="_Toc498691554"/>
      <w:bookmarkStart w:id="945" w:name="_Toc499043735"/>
      <w:bookmarkStart w:id="946" w:name="_Toc499051760"/>
      <w:bookmarkStart w:id="947" w:name="_Toc500251111"/>
      <w:bookmarkStart w:id="948" w:name="_Toc500251386"/>
      <w:bookmarkStart w:id="949" w:name="_Toc500253983"/>
      <w:bookmarkStart w:id="950" w:name="_Toc500401490"/>
      <w:bookmarkStart w:id="951" w:name="_Toc500490974"/>
      <w:bookmarkStart w:id="952" w:name="_Toc500512916"/>
      <w:bookmarkStart w:id="953" w:name="_Toc500514171"/>
      <w:bookmarkStart w:id="954" w:name="_Toc500516228"/>
      <w:r w:rsidRPr="005206CA">
        <w:t>Increasing transparency</w:t>
      </w:r>
      <w:bookmarkEnd w:id="943"/>
      <w:bookmarkEnd w:id="944"/>
      <w:bookmarkEnd w:id="945"/>
      <w:bookmarkEnd w:id="946"/>
      <w:bookmarkEnd w:id="947"/>
      <w:bookmarkEnd w:id="948"/>
      <w:bookmarkEnd w:id="949"/>
      <w:bookmarkEnd w:id="950"/>
      <w:bookmarkEnd w:id="951"/>
      <w:bookmarkEnd w:id="952"/>
      <w:bookmarkEnd w:id="953"/>
      <w:bookmarkEnd w:id="954"/>
    </w:p>
    <w:p w14:paraId="25964C32" w14:textId="31AE1E1B" w:rsidR="00897FA3" w:rsidRPr="005206CA" w:rsidRDefault="00897FA3" w:rsidP="00897FA3">
      <w:r w:rsidRPr="005206CA">
        <w:t xml:space="preserve">The CER takes a risk-based approach to the administration of the ERF. At present, the CER has little knowledge of individuals or firms providing advice to ERF </w:t>
      </w:r>
      <w:r w:rsidR="00194D2D" w:rsidRPr="005206CA">
        <w:t xml:space="preserve">scheme </w:t>
      </w:r>
      <w:r w:rsidRPr="005206CA">
        <w:t xml:space="preserve">participants (apart from </w:t>
      </w:r>
      <w:r w:rsidR="00AE0B04" w:rsidRPr="005206CA">
        <w:t xml:space="preserve">designated </w:t>
      </w:r>
      <w:r w:rsidRPr="005206CA">
        <w:t xml:space="preserve">agents) as checks like the </w:t>
      </w:r>
      <w:r w:rsidR="0045781A" w:rsidRPr="005206CA">
        <w:t>FPP</w:t>
      </w:r>
      <w:r w:rsidRPr="005206CA">
        <w:t xml:space="preserve"> test only apply to scheme participants. If the CER knew more about these individuals or firms, it could use this information to inform its approach to compliance, monitoring and enforce</w:t>
      </w:r>
      <w:r w:rsidR="0031316A" w:rsidRPr="005206CA">
        <w:t>ment arrangements (</w:t>
      </w:r>
      <w:r w:rsidR="0031316A" w:rsidRPr="00AC7279">
        <w:rPr>
          <w:rStyle w:val="SectionChapterChar"/>
        </w:rPr>
        <w:t xml:space="preserve">Section </w:t>
      </w:r>
      <w:r w:rsidR="00E82831" w:rsidRPr="005206CA">
        <w:rPr>
          <w:rStyle w:val="SectionChapterChar"/>
        </w:rPr>
        <w:fldChar w:fldCharType="begin"/>
      </w:r>
      <w:r w:rsidR="00E82831" w:rsidRPr="005206CA">
        <w:rPr>
          <w:rStyle w:val="SectionChapterChar"/>
        </w:rPr>
        <w:instrText xml:space="preserve"> REF _Ref500247243 \w \h </w:instrText>
      </w:r>
      <w:r w:rsid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12.3</w:t>
      </w:r>
      <w:r w:rsidR="00E82831" w:rsidRPr="005206CA">
        <w:rPr>
          <w:rStyle w:val="SectionChapterChar"/>
        </w:rPr>
        <w:fldChar w:fldCharType="end"/>
      </w:r>
      <w:r w:rsidRPr="005206CA">
        <w:t xml:space="preserve">). For example, if the CER identified non-compliance in a project and knew which CSP had provided advice, it may decide to require additional audits for other projects in which the same CSP was involved. </w:t>
      </w:r>
    </w:p>
    <w:p w14:paraId="11F5D463" w14:textId="7FC5B3E4" w:rsidR="00633F48" w:rsidRPr="005206CA" w:rsidRDefault="00897FA3" w:rsidP="00633F48">
      <w:r w:rsidRPr="005206CA">
        <w:t>The Authority thinks that</w:t>
      </w:r>
      <w:r w:rsidRPr="005206CA" w:rsidDel="006517B3">
        <w:t xml:space="preserve"> </w:t>
      </w:r>
      <w:r w:rsidR="006517B3">
        <w:t>scheme</w:t>
      </w:r>
      <w:r w:rsidR="006517B3" w:rsidRPr="005206CA">
        <w:t xml:space="preserve"> </w:t>
      </w:r>
      <w:r w:rsidRPr="005206CA">
        <w:t>participants should be required to advise the CER of any person or organisation that received payment for providing them with advice on the ERF. This notification should be given to the CER at the time when ERF projects are registered and it should be updated in ERF project reports. The CER could collect and analyse this new information on ERF advisers for compliance purposes. The Authority considers that the benefits of increased transparency will outweig</w:t>
      </w:r>
      <w:r w:rsidR="0031316A" w:rsidRPr="005206CA">
        <w:t>h the small additional increase</w:t>
      </w:r>
      <w:r w:rsidRPr="005206CA">
        <w:t xml:space="preserve"> in administrative burden. </w:t>
      </w:r>
    </w:p>
    <w:tbl>
      <w:tblPr>
        <w:tblStyle w:val="TableGrid"/>
        <w:tblW w:w="0" w:type="auto"/>
        <w:shd w:val="clear" w:color="auto" w:fill="E6ECF2"/>
        <w:tblLook w:val="04A0" w:firstRow="1" w:lastRow="0" w:firstColumn="1" w:lastColumn="0" w:noHBand="0" w:noVBand="1"/>
      </w:tblPr>
      <w:tblGrid>
        <w:gridCol w:w="9202"/>
      </w:tblGrid>
      <w:tr w:rsidR="00633F48" w:rsidRPr="005206CA" w14:paraId="0FA2920E" w14:textId="77777777" w:rsidTr="004B1F4F">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1EE1929D" w14:textId="77777777" w:rsidR="00633F48" w:rsidRPr="005206CA" w:rsidRDefault="00633F48" w:rsidP="004B1F4F">
            <w:pPr>
              <w:rPr>
                <w:b/>
                <w:color w:val="159DCE"/>
                <w:sz w:val="18"/>
                <w:szCs w:val="18"/>
              </w:rPr>
            </w:pPr>
            <w:r w:rsidRPr="005206CA">
              <w:rPr>
                <w:b/>
                <w:color w:val="159DCE"/>
                <w:sz w:val="18"/>
                <w:szCs w:val="18"/>
              </w:rPr>
              <w:t>RECOMMENDATION</w:t>
            </w:r>
          </w:p>
          <w:p w14:paraId="4EC250CC" w14:textId="5E9339F9" w:rsidR="00633F48" w:rsidRPr="005206CA" w:rsidRDefault="00633F48" w:rsidP="00AB3A56">
            <w:pPr>
              <w:spacing w:after="140" w:line="320" w:lineRule="exact"/>
              <w:ind w:left="851" w:hanging="851"/>
              <w:rPr>
                <w:sz w:val="18"/>
                <w:szCs w:val="18"/>
              </w:rPr>
            </w:pPr>
            <w:bookmarkStart w:id="955" w:name="_Ref497827920"/>
            <w:bookmarkStart w:id="956" w:name="_Toc497827441"/>
            <w:bookmarkStart w:id="957" w:name="_Toc497834077"/>
            <w:bookmarkStart w:id="958" w:name="_Toc498534525"/>
            <w:bookmarkStart w:id="959" w:name="_Toc498614720"/>
            <w:bookmarkStart w:id="960" w:name="_Toc498691475"/>
            <w:bookmarkStart w:id="961" w:name="_Toc499051674"/>
            <w:bookmarkStart w:id="962" w:name="_Toc499202059"/>
            <w:bookmarkStart w:id="963" w:name="_Toc499892342"/>
            <w:bookmarkStart w:id="964" w:name="_Toc499898703"/>
            <w:bookmarkStart w:id="965" w:name="_Toc499899343"/>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13</w:t>
            </w:r>
            <w:r w:rsidRPr="005206CA">
              <w:rPr>
                <w:rFonts w:cs="Arial"/>
                <w:sz w:val="18"/>
              </w:rPr>
              <w:fldChar w:fldCharType="end"/>
            </w:r>
            <w:bookmarkEnd w:id="955"/>
            <w:r w:rsidRPr="005206CA">
              <w:rPr>
                <w:rFonts w:cs="Arial"/>
                <w:sz w:val="18"/>
              </w:rPr>
              <w:t xml:space="preserve">. </w:t>
            </w:r>
            <w:r w:rsidR="00EC46D3" w:rsidRPr="005206CA">
              <w:rPr>
                <w:rFonts w:cs="Arial"/>
                <w:sz w:val="18"/>
              </w:rPr>
              <w:tab/>
            </w:r>
            <w:bookmarkStart w:id="966" w:name="_Ref500236840"/>
            <w:r w:rsidR="00AB3A56" w:rsidRPr="005206CA">
              <w:rPr>
                <w:sz w:val="18"/>
                <w:szCs w:val="18"/>
              </w:rPr>
              <w:t>S</w:t>
            </w:r>
            <w:r w:rsidRPr="005206CA">
              <w:rPr>
                <w:sz w:val="18"/>
                <w:szCs w:val="18"/>
              </w:rPr>
              <w:t xml:space="preserve">cheme participants </w:t>
            </w:r>
            <w:r w:rsidR="00AB3A56" w:rsidRPr="005206CA">
              <w:rPr>
                <w:sz w:val="18"/>
                <w:szCs w:val="18"/>
              </w:rPr>
              <w:t>advise the C</w:t>
            </w:r>
            <w:r w:rsidR="00402F51" w:rsidRPr="005206CA">
              <w:rPr>
                <w:sz w:val="18"/>
                <w:szCs w:val="18"/>
              </w:rPr>
              <w:t xml:space="preserve">lean </w:t>
            </w:r>
            <w:r w:rsidR="00AB3A56" w:rsidRPr="005206CA">
              <w:rPr>
                <w:sz w:val="18"/>
                <w:szCs w:val="18"/>
              </w:rPr>
              <w:t>E</w:t>
            </w:r>
            <w:r w:rsidR="00402F51" w:rsidRPr="005206CA">
              <w:rPr>
                <w:sz w:val="18"/>
                <w:szCs w:val="18"/>
              </w:rPr>
              <w:t xml:space="preserve">nergy </w:t>
            </w:r>
            <w:r w:rsidR="00AB3A56" w:rsidRPr="005206CA">
              <w:rPr>
                <w:sz w:val="18"/>
                <w:szCs w:val="18"/>
              </w:rPr>
              <w:t>R</w:t>
            </w:r>
            <w:r w:rsidR="00402F51" w:rsidRPr="005206CA">
              <w:rPr>
                <w:sz w:val="18"/>
                <w:szCs w:val="18"/>
              </w:rPr>
              <w:t>egulator</w:t>
            </w:r>
            <w:r w:rsidR="00AB3A56" w:rsidRPr="005206CA">
              <w:rPr>
                <w:sz w:val="18"/>
                <w:szCs w:val="18"/>
              </w:rPr>
              <w:t xml:space="preserve"> of individuals and firms </w:t>
            </w:r>
            <w:r w:rsidR="00B80468" w:rsidRPr="005206CA">
              <w:rPr>
                <w:sz w:val="18"/>
                <w:szCs w:val="18"/>
              </w:rPr>
              <w:t xml:space="preserve">they </w:t>
            </w:r>
            <w:r w:rsidR="00AB3A56" w:rsidRPr="005206CA">
              <w:rPr>
                <w:sz w:val="18"/>
                <w:szCs w:val="18"/>
              </w:rPr>
              <w:t>paid</w:t>
            </w:r>
            <w:r w:rsidRPr="005206CA">
              <w:rPr>
                <w:sz w:val="18"/>
                <w:szCs w:val="18"/>
              </w:rPr>
              <w:t xml:space="preserve"> to provide advice on the E</w:t>
            </w:r>
            <w:r w:rsidR="00402F51" w:rsidRPr="005206CA">
              <w:rPr>
                <w:sz w:val="18"/>
                <w:szCs w:val="18"/>
              </w:rPr>
              <w:t xml:space="preserve">missions </w:t>
            </w:r>
            <w:r w:rsidRPr="005206CA">
              <w:rPr>
                <w:sz w:val="18"/>
                <w:szCs w:val="18"/>
              </w:rPr>
              <w:t>R</w:t>
            </w:r>
            <w:r w:rsidR="00402F51" w:rsidRPr="005206CA">
              <w:rPr>
                <w:sz w:val="18"/>
                <w:szCs w:val="18"/>
              </w:rPr>
              <w:t xml:space="preserve">eduction </w:t>
            </w:r>
            <w:r w:rsidRPr="005206CA">
              <w:rPr>
                <w:sz w:val="18"/>
                <w:szCs w:val="18"/>
              </w:rPr>
              <w:t>F</w:t>
            </w:r>
            <w:r w:rsidR="00402F51" w:rsidRPr="005206CA">
              <w:rPr>
                <w:sz w:val="18"/>
                <w:szCs w:val="18"/>
              </w:rPr>
              <w:t>und</w:t>
            </w:r>
            <w:r w:rsidRPr="005206CA">
              <w:rPr>
                <w:sz w:val="18"/>
                <w:szCs w:val="18"/>
              </w:rPr>
              <w:t xml:space="preserve"> </w:t>
            </w:r>
            <w:r w:rsidR="00AB3A56" w:rsidRPr="005206CA">
              <w:rPr>
                <w:sz w:val="18"/>
                <w:szCs w:val="18"/>
              </w:rPr>
              <w:t xml:space="preserve">when </w:t>
            </w:r>
            <w:r w:rsidR="00703CF9" w:rsidRPr="005206CA">
              <w:rPr>
                <w:sz w:val="18"/>
                <w:szCs w:val="18"/>
              </w:rPr>
              <w:t xml:space="preserve">new </w:t>
            </w:r>
            <w:r w:rsidRPr="005206CA">
              <w:rPr>
                <w:sz w:val="18"/>
                <w:szCs w:val="18"/>
              </w:rPr>
              <w:t>project</w:t>
            </w:r>
            <w:r w:rsidR="00AB3A56" w:rsidRPr="005206CA">
              <w:rPr>
                <w:sz w:val="18"/>
                <w:szCs w:val="18"/>
              </w:rPr>
              <w:t>s are</w:t>
            </w:r>
            <w:r w:rsidRPr="005206CA">
              <w:rPr>
                <w:sz w:val="18"/>
                <w:szCs w:val="18"/>
              </w:rPr>
              <w:t xml:space="preserve"> </w:t>
            </w:r>
            <w:r w:rsidR="00AB3A56" w:rsidRPr="005206CA">
              <w:rPr>
                <w:sz w:val="18"/>
                <w:szCs w:val="18"/>
              </w:rPr>
              <w:t xml:space="preserve">registered </w:t>
            </w:r>
            <w:r w:rsidRPr="005206CA">
              <w:rPr>
                <w:sz w:val="18"/>
                <w:szCs w:val="18"/>
              </w:rPr>
              <w:t xml:space="preserve">and </w:t>
            </w:r>
            <w:r w:rsidR="00AB3A56" w:rsidRPr="005206CA">
              <w:rPr>
                <w:sz w:val="18"/>
                <w:szCs w:val="18"/>
              </w:rPr>
              <w:t xml:space="preserve">updated </w:t>
            </w:r>
            <w:r w:rsidRPr="005206CA">
              <w:rPr>
                <w:sz w:val="18"/>
                <w:szCs w:val="18"/>
              </w:rPr>
              <w:t>in project reports.</w:t>
            </w:r>
            <w:bookmarkEnd w:id="956"/>
            <w:bookmarkEnd w:id="957"/>
            <w:bookmarkEnd w:id="958"/>
            <w:bookmarkEnd w:id="959"/>
            <w:bookmarkEnd w:id="960"/>
            <w:bookmarkEnd w:id="961"/>
            <w:bookmarkEnd w:id="962"/>
            <w:bookmarkEnd w:id="963"/>
            <w:bookmarkEnd w:id="964"/>
            <w:bookmarkEnd w:id="965"/>
            <w:bookmarkEnd w:id="966"/>
          </w:p>
        </w:tc>
      </w:tr>
    </w:tbl>
    <w:p w14:paraId="7B187014" w14:textId="77777777" w:rsidR="007E0199" w:rsidRDefault="007E0199" w:rsidP="00BF0516">
      <w:bookmarkStart w:id="967" w:name="_Toc497819488"/>
      <w:bookmarkStart w:id="968" w:name="_Toc498691555"/>
      <w:bookmarkStart w:id="969" w:name="_Toc499043736"/>
      <w:bookmarkStart w:id="970" w:name="_Toc499051761"/>
      <w:bookmarkStart w:id="971" w:name="_Ref500247189"/>
      <w:bookmarkStart w:id="972" w:name="_Toc500251112"/>
      <w:bookmarkStart w:id="973" w:name="_Toc500251387"/>
      <w:bookmarkStart w:id="974" w:name="_Toc500253984"/>
    </w:p>
    <w:p w14:paraId="6AC9E4CC" w14:textId="4C15233B" w:rsidR="00897FA3" w:rsidRPr="005206CA" w:rsidRDefault="00633F48">
      <w:pPr>
        <w:pStyle w:val="Heading2"/>
      </w:pPr>
      <w:bookmarkStart w:id="975" w:name="_Ref500332033"/>
      <w:bookmarkStart w:id="976" w:name="_Toc500401491"/>
      <w:bookmarkStart w:id="977" w:name="_Toc500490975"/>
      <w:bookmarkStart w:id="978" w:name="_Toc500512917"/>
      <w:bookmarkStart w:id="979" w:name="_Toc500514172"/>
      <w:bookmarkStart w:id="980" w:name="_Toc500516229"/>
      <w:r w:rsidRPr="005206CA">
        <w:t>Extending the fit and proper person test to agents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5E5B4B69" w14:textId="3BC37603" w:rsidR="00897FA3" w:rsidRPr="005206CA" w:rsidRDefault="00897FA3" w:rsidP="00897FA3">
      <w:r w:rsidRPr="005206CA">
        <w:t>The FPP</w:t>
      </w:r>
      <w:r w:rsidR="0045781A" w:rsidRPr="005206CA">
        <w:t xml:space="preserve"> test</w:t>
      </w:r>
      <w:r w:rsidRPr="005206CA">
        <w:t xml:space="preserve"> is set out in the C</w:t>
      </w:r>
      <w:r w:rsidR="0045781A" w:rsidRPr="005206CA">
        <w:t xml:space="preserve">arbon </w:t>
      </w:r>
      <w:r w:rsidRPr="005206CA">
        <w:t>F</w:t>
      </w:r>
      <w:r w:rsidR="0045781A" w:rsidRPr="005206CA">
        <w:t xml:space="preserve">arming </w:t>
      </w:r>
      <w:r w:rsidRPr="005206CA">
        <w:t>I</w:t>
      </w:r>
      <w:r w:rsidR="0045781A" w:rsidRPr="005206CA">
        <w:t>nitiative</w:t>
      </w:r>
      <w:r w:rsidRPr="005206CA">
        <w:t xml:space="preserve"> </w:t>
      </w:r>
      <w:r w:rsidR="0045781A" w:rsidRPr="005206CA">
        <w:t xml:space="preserve">(CFI) </w:t>
      </w:r>
      <w:r w:rsidRPr="005206CA">
        <w:t xml:space="preserve">Rule (a statutory instrument similar to regulation). The FPP test is used to determine the eligibility of a person (including individuals performing corporate director roles) to participate in the ERF. Scheme participants must maintain their FPP status to participate in the scheme and receive ACCUs. The ERF’s FPP requirements generally consider a person’s past compliance with the law, whether they are </w:t>
      </w:r>
      <w:r w:rsidR="00477451" w:rsidRPr="005206CA">
        <w:t xml:space="preserve">(or were) </w:t>
      </w:r>
      <w:r w:rsidRPr="005206CA">
        <w:t>insolvent, and whether they have the necessary capabilities and competence to fulfil their intended scheme role.</w:t>
      </w:r>
    </w:p>
    <w:p w14:paraId="6F68EB29" w14:textId="54931FEA" w:rsidR="00897FA3" w:rsidRPr="005206CA" w:rsidRDefault="00897FA3" w:rsidP="00897FA3">
      <w:r w:rsidRPr="005206CA">
        <w:t xml:space="preserve">At present the FPP requirement does not apply to </w:t>
      </w:r>
      <w:r w:rsidR="00A42496" w:rsidRPr="005206CA">
        <w:t xml:space="preserve">designated </w:t>
      </w:r>
      <w:r w:rsidRPr="005206CA">
        <w:t>agents that participate in the sche</w:t>
      </w:r>
      <w:r w:rsidR="0031316A" w:rsidRPr="005206CA">
        <w:t xml:space="preserve">me. </w:t>
      </w:r>
      <w:r w:rsidRPr="005206CA">
        <w:t>Under</w:t>
      </w:r>
      <w:r w:rsidR="00C327F1" w:rsidRPr="005206CA">
        <w:t xml:space="preserve"> the ERF, a scheme participant </w:t>
      </w:r>
      <w:r w:rsidRPr="005206CA">
        <w:t xml:space="preserve">can authorise an agent to act on their behalf. The Authority considers that risks associated with agents’ conduct in the ERF are similar to other scheme participants and agents should also be covered by the FPP requirement. </w:t>
      </w:r>
    </w:p>
    <w:p w14:paraId="271272F1" w14:textId="3F3629D0" w:rsidR="004B1F4F" w:rsidRPr="005206CA" w:rsidRDefault="00897FA3" w:rsidP="004B1F4F">
      <w:r w:rsidRPr="005206CA">
        <w:t xml:space="preserve">Extending FPP to </w:t>
      </w:r>
      <w:r w:rsidR="00BC0DEE" w:rsidRPr="005206CA">
        <w:t xml:space="preserve">designated </w:t>
      </w:r>
      <w:r w:rsidRPr="005206CA">
        <w:t xml:space="preserve">agents would require a legislative change. </w:t>
      </w:r>
    </w:p>
    <w:tbl>
      <w:tblPr>
        <w:tblStyle w:val="TableGrid"/>
        <w:tblW w:w="0" w:type="auto"/>
        <w:shd w:val="clear" w:color="auto" w:fill="E6ECF2"/>
        <w:tblLook w:val="04A0" w:firstRow="1" w:lastRow="0" w:firstColumn="1" w:lastColumn="0" w:noHBand="0" w:noVBand="1"/>
      </w:tblPr>
      <w:tblGrid>
        <w:gridCol w:w="9202"/>
      </w:tblGrid>
      <w:tr w:rsidR="004B1F4F" w:rsidRPr="005206CA" w14:paraId="06A16D71" w14:textId="77777777" w:rsidTr="004B1F4F">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09D04286" w14:textId="77777777" w:rsidR="004B1F4F" w:rsidRPr="005206CA" w:rsidRDefault="004B1F4F" w:rsidP="004B1F4F">
            <w:pPr>
              <w:rPr>
                <w:b/>
                <w:color w:val="159DCE"/>
                <w:sz w:val="18"/>
                <w:szCs w:val="18"/>
              </w:rPr>
            </w:pPr>
            <w:r w:rsidRPr="005206CA">
              <w:rPr>
                <w:b/>
                <w:color w:val="159DCE"/>
                <w:sz w:val="18"/>
                <w:szCs w:val="18"/>
              </w:rPr>
              <w:t>RECOMMENDATION</w:t>
            </w:r>
          </w:p>
          <w:p w14:paraId="1594C049" w14:textId="4CFB3100" w:rsidR="004B1F4F" w:rsidRPr="005206CA" w:rsidRDefault="004B1F4F" w:rsidP="00BC0DEE">
            <w:pPr>
              <w:spacing w:after="140" w:line="320" w:lineRule="exact"/>
              <w:ind w:left="851" w:hanging="851"/>
              <w:rPr>
                <w:sz w:val="18"/>
                <w:szCs w:val="18"/>
              </w:rPr>
            </w:pPr>
            <w:bookmarkStart w:id="981" w:name="_Ref497827929"/>
            <w:bookmarkStart w:id="982" w:name="_Toc497827442"/>
            <w:bookmarkStart w:id="983" w:name="_Toc497834078"/>
            <w:bookmarkStart w:id="984" w:name="_Toc498534526"/>
            <w:bookmarkStart w:id="985" w:name="_Toc498614721"/>
            <w:bookmarkStart w:id="986" w:name="_Toc498691476"/>
            <w:bookmarkStart w:id="987" w:name="_Toc499051675"/>
            <w:bookmarkStart w:id="988" w:name="_Toc499202060"/>
            <w:bookmarkStart w:id="989" w:name="_Toc499892343"/>
            <w:bookmarkStart w:id="990" w:name="_Toc499898704"/>
            <w:bookmarkStart w:id="991" w:name="_Toc499899344"/>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14</w:t>
            </w:r>
            <w:r w:rsidRPr="005206CA">
              <w:rPr>
                <w:rFonts w:cs="Arial"/>
                <w:sz w:val="18"/>
              </w:rPr>
              <w:fldChar w:fldCharType="end"/>
            </w:r>
            <w:bookmarkEnd w:id="981"/>
            <w:r w:rsidRPr="005206CA">
              <w:rPr>
                <w:rFonts w:cs="Arial"/>
                <w:sz w:val="18"/>
              </w:rPr>
              <w:t xml:space="preserve">. </w:t>
            </w:r>
            <w:r w:rsidR="00F75BD9" w:rsidRPr="005206CA">
              <w:rPr>
                <w:rFonts w:cs="Arial"/>
                <w:sz w:val="18"/>
              </w:rPr>
              <w:tab/>
            </w:r>
            <w:bookmarkStart w:id="992" w:name="_Ref500236844"/>
            <w:r w:rsidRPr="005206CA">
              <w:rPr>
                <w:sz w:val="18"/>
                <w:szCs w:val="18"/>
              </w:rPr>
              <w:t xml:space="preserve">The </w:t>
            </w:r>
            <w:r w:rsidR="00B02578" w:rsidRPr="005206CA">
              <w:rPr>
                <w:i/>
                <w:sz w:val="18"/>
                <w:szCs w:val="18"/>
              </w:rPr>
              <w:t>C</w:t>
            </w:r>
            <w:r w:rsidR="00402F51" w:rsidRPr="005206CA">
              <w:rPr>
                <w:i/>
                <w:sz w:val="18"/>
                <w:szCs w:val="18"/>
              </w:rPr>
              <w:t xml:space="preserve">arbon Credits (Carbon </w:t>
            </w:r>
            <w:r w:rsidR="00B02578" w:rsidRPr="005206CA">
              <w:rPr>
                <w:i/>
                <w:sz w:val="18"/>
                <w:szCs w:val="18"/>
              </w:rPr>
              <w:t>F</w:t>
            </w:r>
            <w:r w:rsidR="00402F51" w:rsidRPr="005206CA">
              <w:rPr>
                <w:i/>
                <w:sz w:val="18"/>
                <w:szCs w:val="18"/>
              </w:rPr>
              <w:t xml:space="preserve">arming </w:t>
            </w:r>
            <w:r w:rsidR="00B02578" w:rsidRPr="005206CA">
              <w:rPr>
                <w:i/>
                <w:sz w:val="18"/>
                <w:szCs w:val="18"/>
              </w:rPr>
              <w:t>I</w:t>
            </w:r>
            <w:r w:rsidR="00402F51" w:rsidRPr="005206CA">
              <w:rPr>
                <w:i/>
                <w:sz w:val="18"/>
                <w:szCs w:val="18"/>
              </w:rPr>
              <w:t>nitiative)</w:t>
            </w:r>
            <w:r w:rsidR="00B02578" w:rsidRPr="005206CA">
              <w:rPr>
                <w:i/>
                <w:sz w:val="18"/>
                <w:szCs w:val="18"/>
              </w:rPr>
              <w:t xml:space="preserve"> Act</w:t>
            </w:r>
            <w:r w:rsidR="00402F51" w:rsidRPr="005206CA">
              <w:rPr>
                <w:i/>
                <w:sz w:val="18"/>
                <w:szCs w:val="18"/>
              </w:rPr>
              <w:t xml:space="preserve"> 2011</w:t>
            </w:r>
            <w:r w:rsidR="00402F51" w:rsidRPr="005206CA">
              <w:rPr>
                <w:sz w:val="18"/>
                <w:szCs w:val="18"/>
              </w:rPr>
              <w:t xml:space="preserve"> (Cth)</w:t>
            </w:r>
            <w:r w:rsidR="00B02578" w:rsidRPr="005206CA">
              <w:rPr>
                <w:sz w:val="18"/>
                <w:szCs w:val="18"/>
              </w:rPr>
              <w:t xml:space="preserve"> be amended so that the Fit and Proper Person </w:t>
            </w:r>
            <w:r w:rsidRPr="005206CA">
              <w:rPr>
                <w:sz w:val="18"/>
                <w:szCs w:val="18"/>
              </w:rPr>
              <w:t xml:space="preserve">requirement </w:t>
            </w:r>
            <w:r w:rsidR="00B02578" w:rsidRPr="005206CA">
              <w:rPr>
                <w:sz w:val="18"/>
                <w:szCs w:val="18"/>
              </w:rPr>
              <w:t>is</w:t>
            </w:r>
            <w:r w:rsidRPr="005206CA">
              <w:rPr>
                <w:sz w:val="18"/>
                <w:szCs w:val="18"/>
              </w:rPr>
              <w:t xml:space="preserve"> extended to </w:t>
            </w:r>
            <w:r w:rsidR="00BC0DEE" w:rsidRPr="005206CA">
              <w:rPr>
                <w:sz w:val="18"/>
                <w:szCs w:val="18"/>
              </w:rPr>
              <w:t xml:space="preserve">designated </w:t>
            </w:r>
            <w:r w:rsidRPr="005206CA">
              <w:rPr>
                <w:sz w:val="18"/>
                <w:szCs w:val="18"/>
              </w:rPr>
              <w:t xml:space="preserve">agents that act for </w:t>
            </w:r>
            <w:r w:rsidR="0031316A" w:rsidRPr="005206CA">
              <w:rPr>
                <w:sz w:val="18"/>
                <w:szCs w:val="18"/>
              </w:rPr>
              <w:t>scheme participants</w:t>
            </w:r>
            <w:r w:rsidRPr="005206CA">
              <w:rPr>
                <w:sz w:val="18"/>
                <w:szCs w:val="18"/>
              </w:rPr>
              <w:t>.</w:t>
            </w:r>
            <w:bookmarkEnd w:id="982"/>
            <w:bookmarkEnd w:id="983"/>
            <w:bookmarkEnd w:id="984"/>
            <w:bookmarkEnd w:id="985"/>
            <w:bookmarkEnd w:id="986"/>
            <w:bookmarkEnd w:id="987"/>
            <w:bookmarkEnd w:id="988"/>
            <w:bookmarkEnd w:id="989"/>
            <w:bookmarkEnd w:id="990"/>
            <w:bookmarkEnd w:id="991"/>
            <w:bookmarkEnd w:id="992"/>
          </w:p>
        </w:tc>
      </w:tr>
    </w:tbl>
    <w:p w14:paraId="2E3354D1" w14:textId="77777777" w:rsidR="007E0199" w:rsidRDefault="007E0199" w:rsidP="00BF0516">
      <w:bookmarkStart w:id="993" w:name="_Toc497819489"/>
      <w:bookmarkStart w:id="994" w:name="_Toc498691556"/>
      <w:bookmarkStart w:id="995" w:name="_Toc499043737"/>
      <w:bookmarkStart w:id="996" w:name="_Toc499051762"/>
      <w:bookmarkStart w:id="997" w:name="_Ref500247015"/>
      <w:bookmarkStart w:id="998" w:name="_Ref500247048"/>
      <w:bookmarkStart w:id="999" w:name="_Toc500251113"/>
      <w:bookmarkStart w:id="1000" w:name="_Toc500251388"/>
      <w:bookmarkStart w:id="1001" w:name="_Toc500253985"/>
    </w:p>
    <w:p w14:paraId="79F02F03" w14:textId="77777777" w:rsidR="00897FA3" w:rsidRPr="005206CA" w:rsidRDefault="00633F48">
      <w:pPr>
        <w:pStyle w:val="Heading2"/>
      </w:pPr>
      <w:bookmarkStart w:id="1002" w:name="_Ref500331549"/>
      <w:bookmarkStart w:id="1003" w:name="_Toc500401492"/>
      <w:bookmarkStart w:id="1004" w:name="_Toc500490976"/>
      <w:bookmarkStart w:id="1005" w:name="_Toc500512918"/>
      <w:bookmarkStart w:id="1006" w:name="_Toc500514173"/>
      <w:bookmarkStart w:id="1007" w:name="_Toc500516230"/>
      <w:r w:rsidRPr="005206CA">
        <w:t>Aggregation</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0E487151" w14:textId="77777777" w:rsidR="00897FA3" w:rsidRPr="005206CA" w:rsidRDefault="00897FA3" w:rsidP="00897FA3">
      <w:r w:rsidRPr="005206CA">
        <w:t>For the ERF, aggregation refers to bringing together or pooling emissions reductions from multiple physical sites or different offset projects. It is a service offered by some CSPs.</w:t>
      </w:r>
    </w:p>
    <w:p w14:paraId="0C2FE135" w14:textId="45F6C6E4" w:rsidR="00897FA3" w:rsidRPr="005206CA" w:rsidRDefault="00897FA3" w:rsidP="00897FA3">
      <w:r w:rsidRPr="005206CA">
        <w:t>Both projects and contracts can be aggregated under the ERF. Under project aggregation, activities that use the same method across multiple sites are pooled into a single project. Contract aggregation on the other hand combines projects using different methods into a single bid at an auction. Most of the aggregation which occurs under the ERF is project based with less than five per cent of all contracts aggregated (</w:t>
      </w:r>
      <w:r w:rsidRPr="005206CA">
        <w:rPr>
          <w:rStyle w:val="In-textChar"/>
        </w:rPr>
        <w:t xml:space="preserve">CER </w:t>
      </w:r>
      <w:r w:rsidR="00B4754E" w:rsidRPr="005206CA">
        <w:rPr>
          <w:rStyle w:val="In-textChar"/>
        </w:rPr>
        <w:t>2017k</w:t>
      </w:r>
      <w:r w:rsidRPr="005206CA">
        <w:t>).</w:t>
      </w:r>
    </w:p>
    <w:p w14:paraId="23DF6B3F" w14:textId="705CE636" w:rsidR="00897FA3" w:rsidRPr="005206CA" w:rsidRDefault="00897FA3" w:rsidP="00897FA3">
      <w:r w:rsidRPr="005206CA">
        <w:t>The ERF was intended to encourage aggregation to reduce transaction costs, overcome information barriers and ultimately increase participation</w:t>
      </w:r>
      <w:r w:rsidR="00194D2D" w:rsidRPr="005206CA">
        <w:t xml:space="preserve"> (</w:t>
      </w:r>
      <w:r w:rsidR="00194D2D" w:rsidRPr="005206CA">
        <w:rPr>
          <w:rStyle w:val="In-textChar"/>
        </w:rPr>
        <w:t>Australian Government 2014</w:t>
      </w:r>
      <w:r w:rsidR="00194D2D" w:rsidRPr="005206CA">
        <w:t>)</w:t>
      </w:r>
      <w:r w:rsidRPr="005206CA">
        <w:t xml:space="preserve">. In its </w:t>
      </w:r>
      <w:r w:rsidR="007E5547" w:rsidRPr="005206CA">
        <w:t>submission on</w:t>
      </w:r>
      <w:r w:rsidRPr="005206CA">
        <w:t xml:space="preserve"> the 2017 </w:t>
      </w:r>
      <w:r w:rsidR="002874CD" w:rsidRPr="005206CA">
        <w:t>r</w:t>
      </w:r>
      <w:r w:rsidRPr="005206CA">
        <w:t xml:space="preserve">eview, GreenCollar, a CSP, said that </w:t>
      </w:r>
      <w:r w:rsidR="003801B5" w:rsidRPr="005206CA">
        <w:t>‘</w:t>
      </w:r>
      <w:r w:rsidRPr="005206CA">
        <w:t>Allowing aggregation has created scale and efficiencies in the federal carbon space’</w:t>
      </w:r>
      <w:r w:rsidR="00662776" w:rsidRPr="005206CA">
        <w:t xml:space="preserve"> (p. 3)</w:t>
      </w:r>
      <w:r w:rsidRPr="005206CA">
        <w:t xml:space="preserve">. </w:t>
      </w:r>
    </w:p>
    <w:p w14:paraId="4D22242E" w14:textId="36F8A765" w:rsidR="00897FA3" w:rsidRPr="005206CA" w:rsidRDefault="00897FA3" w:rsidP="00897FA3">
      <w:r w:rsidRPr="005206CA">
        <w:t>Although it is not possible to precisely identify aggregated p</w:t>
      </w:r>
      <w:r w:rsidR="0031316A" w:rsidRPr="005206CA">
        <w:t>rojects on the project register</w:t>
      </w:r>
      <w:r w:rsidRPr="005206CA">
        <w:t>, as discussed above, CSPs are responsible for 74 per cent of contracted abatement (</w:t>
      </w:r>
      <w:r w:rsidR="00E87085" w:rsidRPr="00AC7279">
        <w:rPr>
          <w:rStyle w:val="SectionChapterChar"/>
        </w:rPr>
        <w:t xml:space="preserve">Table </w:t>
      </w:r>
      <w:r w:rsidR="003376C4" w:rsidRPr="00AC7279">
        <w:rPr>
          <w:rStyle w:val="SectionChapterChar"/>
        </w:rPr>
        <w:t>7</w:t>
      </w:r>
      <w:r w:rsidRPr="005206CA">
        <w:t xml:space="preserve">). It is likely that a significant proportion of their contracted abatement involves aggregation. </w:t>
      </w:r>
    </w:p>
    <w:p w14:paraId="31D2DFD0" w14:textId="77777777" w:rsidR="00897FA3" w:rsidRPr="005206CA" w:rsidRDefault="004B1F4F">
      <w:pPr>
        <w:pStyle w:val="Heading3"/>
      </w:pPr>
      <w:r w:rsidRPr="005206CA">
        <w:t>The minimum bid threshold</w:t>
      </w:r>
    </w:p>
    <w:p w14:paraId="01E10602" w14:textId="4FAB3151" w:rsidR="00897FA3" w:rsidRPr="005206CA" w:rsidRDefault="00897FA3" w:rsidP="00897FA3">
      <w:r w:rsidRPr="005206CA">
        <w:t xml:space="preserve">To encourage the aggregation of smaller activities and reduce administrative costs, participation in an auction for a carbon abatement contract requires a minimum bid of 2,000 ACCUs a year on average </w:t>
      </w:r>
      <w:r w:rsidR="0031316A" w:rsidRPr="005206CA">
        <w:t xml:space="preserve">over the term of the contract. </w:t>
      </w:r>
      <w:r w:rsidRPr="005206CA">
        <w:t>The ERF White Paper suggested that this threshold could be adjusted over time (</w:t>
      </w:r>
      <w:r w:rsidRPr="005206CA">
        <w:rPr>
          <w:rStyle w:val="In-textChar"/>
        </w:rPr>
        <w:t>Australian Government 2014</w:t>
      </w:r>
      <w:r w:rsidRPr="005206CA">
        <w:t>). Most contracts awarded to date are for more than 20,000 ACCUs a year and aggregation is clearly occurring across the ERF as a whole (</w:t>
      </w:r>
      <w:r w:rsidRPr="005206CA">
        <w:rPr>
          <w:rStyle w:val="In-textChar"/>
        </w:rPr>
        <w:t xml:space="preserve">CER </w:t>
      </w:r>
      <w:r w:rsidR="00B4754E" w:rsidRPr="005206CA">
        <w:rPr>
          <w:rStyle w:val="In-textChar"/>
        </w:rPr>
        <w:t>2017k</w:t>
      </w:r>
      <w:r w:rsidRPr="005206CA">
        <w:t xml:space="preserve">). </w:t>
      </w:r>
    </w:p>
    <w:p w14:paraId="5E6BA242" w14:textId="5E687022" w:rsidR="00A76ACF" w:rsidRPr="005206CA" w:rsidRDefault="00897FA3" w:rsidP="00897FA3">
      <w:r w:rsidRPr="005206CA">
        <w:t>Some stakeholders have told the Authority that the size of the minimum bid threshold is a barrier to participation. In its submission</w:t>
      </w:r>
      <w:r w:rsidR="00662776" w:rsidRPr="005206CA">
        <w:t xml:space="preserve"> on this review</w:t>
      </w:r>
      <w:r w:rsidRPr="005206CA">
        <w:t>, the Australian Gas Infrastructure Group</w:t>
      </w:r>
      <w:r w:rsidR="0031316A" w:rsidRPr="005206CA">
        <w:t xml:space="preserve"> said that ‘</w:t>
      </w:r>
      <w:r w:rsidRPr="005206CA">
        <w:t>the minimum requirement of 2,000 ACCUs may be prohibitive…. there are few emissions sources within a business akin to ours that are larger than the threshold’</w:t>
      </w:r>
      <w:r w:rsidR="00662776" w:rsidRPr="005206CA">
        <w:t xml:space="preserve"> (p. 2). </w:t>
      </w:r>
      <w:r w:rsidRPr="005206CA">
        <w:t>Similarly, the Western Australian Local Government Association (WALGA) stated</w:t>
      </w:r>
      <w:r w:rsidR="00662776" w:rsidRPr="005206CA">
        <w:t xml:space="preserve"> in its submission on this review</w:t>
      </w:r>
      <w:r w:rsidRPr="005206CA">
        <w:t xml:space="preserve"> that</w:t>
      </w:r>
      <w:r w:rsidR="00A76ACF" w:rsidRPr="005206CA">
        <w:t>:</w:t>
      </w:r>
    </w:p>
    <w:p w14:paraId="30B02D3B" w14:textId="73ED1D1B" w:rsidR="00897FA3" w:rsidRPr="005206CA" w:rsidRDefault="00897FA3" w:rsidP="00AC7279">
      <w:pPr>
        <w:ind w:left="284"/>
      </w:pPr>
      <w:r w:rsidRPr="00AC7279">
        <w:rPr>
          <w:i/>
        </w:rPr>
        <w:t>the relatively high emissions reduction threshold of 2,000t</w:t>
      </w:r>
      <w:r w:rsidR="00166849" w:rsidRPr="00AC7279">
        <w:rPr>
          <w:i/>
        </w:rPr>
        <w:t> </w:t>
      </w:r>
      <w:r w:rsidRPr="00AC7279">
        <w:rPr>
          <w:i/>
        </w:rPr>
        <w:t>CO</w:t>
      </w:r>
      <w:r w:rsidRPr="00AC7279">
        <w:rPr>
          <w:i/>
          <w:vertAlign w:val="subscript"/>
        </w:rPr>
        <w:t>2</w:t>
      </w:r>
      <w:r w:rsidRPr="00AC7279">
        <w:rPr>
          <w:i/>
        </w:rPr>
        <w:t>-</w:t>
      </w:r>
      <w:r w:rsidR="00166849" w:rsidRPr="00AC7279">
        <w:rPr>
          <w:i/>
        </w:rPr>
        <w:t>e</w:t>
      </w:r>
      <w:r w:rsidRPr="00AC7279">
        <w:rPr>
          <w:i/>
        </w:rPr>
        <w:t xml:space="preserve"> per year means that only the larger Local Governments (and large projects within those Local Governments) might be eligible to bid into the ERF</w:t>
      </w:r>
      <w:r w:rsidR="00662776" w:rsidRPr="005206CA">
        <w:t xml:space="preserve"> (p. 6).</w:t>
      </w:r>
      <w:r w:rsidRPr="005206CA">
        <w:t xml:space="preserve"> </w:t>
      </w:r>
    </w:p>
    <w:p w14:paraId="71C3F43E" w14:textId="6A8297B5" w:rsidR="00897FA3" w:rsidRPr="005206CA" w:rsidRDefault="00897FA3" w:rsidP="00897FA3">
      <w:r w:rsidRPr="005206CA">
        <w:t xml:space="preserve">The Authority acknowledges that the minimum bid threshold may constitute a barrier to participation for certain organisations and projects and to date participation from local governments in the ERF has been limited. However, WALGA acknowledges that ‘the costs involved for a Local Government seeking to participate’ </w:t>
      </w:r>
      <w:r w:rsidR="00662776" w:rsidRPr="005206CA">
        <w:t xml:space="preserve">(p. 7) </w:t>
      </w:r>
      <w:r w:rsidRPr="005206CA">
        <w:t>constitute an additional barrier. As such, the Authority believes that reducing the minimum bid threshold would not be enough to encourage participation from some stakeholders due to other barriers such as price. Given the administrative costs associated with smaller projects and the availability of aggregation services across the ERF, the Authority is not persuaded of the need to reduce the minimum bid threshold</w:t>
      </w:r>
      <w:r w:rsidR="004006F7">
        <w:t xml:space="preserve"> (Section 3.2.3)</w:t>
      </w:r>
      <w:r w:rsidRPr="005206CA">
        <w:t>.</w:t>
      </w:r>
    </w:p>
    <w:p w14:paraId="057DEE21" w14:textId="77777777" w:rsidR="00897FA3" w:rsidRPr="005206CA" w:rsidRDefault="004B1F4F">
      <w:pPr>
        <w:pStyle w:val="Heading3"/>
      </w:pPr>
      <w:r w:rsidRPr="005206CA">
        <w:t>Aggregation agreements</w:t>
      </w:r>
    </w:p>
    <w:p w14:paraId="4B25285A" w14:textId="6AAF659A" w:rsidR="00897FA3" w:rsidRPr="005206CA" w:rsidRDefault="00897FA3" w:rsidP="00897FA3">
      <w:r w:rsidRPr="005206CA">
        <w:t xml:space="preserve">Aggregation can work in a number of ways and may involve an aggregation agreement. An aggregation agreement sets out the roles of the parties involved and could include aggregators, site owners (or landholders) and other service providers. Aggregators can register an aggregated project with the CER and if they secure a carbon abatement contract with the CER they are responsible for delivering the contracted ACCUs. </w:t>
      </w:r>
    </w:p>
    <w:p w14:paraId="6B89DFA8" w14:textId="77777777" w:rsidR="00897FA3" w:rsidRPr="005206CA" w:rsidRDefault="00897FA3" w:rsidP="00897FA3">
      <w:r w:rsidRPr="005206CA">
        <w:t>The aggregation agreement between the parties will also determine how the financial costs and benefits of the activity are shared including how the site owner is paid. It may include agreements on a range of factors including who is responsible for maintenance and reporting and how the risks and benefits of producing less or more ACCUs than expected are shared. Contractual arrangements for aggregated projects between CSPs and other project participants are commercial in confidence and are not made available to the CER.</w:t>
      </w:r>
    </w:p>
    <w:p w14:paraId="23561D81" w14:textId="2F02E12F" w:rsidR="00897FA3" w:rsidRPr="005206CA" w:rsidRDefault="00897FA3" w:rsidP="00897FA3">
      <w:r w:rsidRPr="005206CA">
        <w:t xml:space="preserve">In their submissions </w:t>
      </w:r>
      <w:r w:rsidR="002874CD" w:rsidRPr="005206CA">
        <w:t xml:space="preserve">on </w:t>
      </w:r>
      <w:r w:rsidRPr="005206CA">
        <w:t xml:space="preserve">the 2017 </w:t>
      </w:r>
      <w:r w:rsidR="002874CD" w:rsidRPr="005206CA">
        <w:t>r</w:t>
      </w:r>
      <w:r w:rsidRPr="005206CA">
        <w:t xml:space="preserve">eview and the </w:t>
      </w:r>
      <w:r w:rsidRPr="005206CA">
        <w:rPr>
          <w:i/>
        </w:rPr>
        <w:t xml:space="preserve">Action on the land </w:t>
      </w:r>
      <w:r w:rsidRPr="005206CA">
        <w:t xml:space="preserve">issues paper, the </w:t>
      </w:r>
      <w:r w:rsidR="007D555B" w:rsidRPr="005206CA">
        <w:t>N</w:t>
      </w:r>
      <w:r w:rsidR="00425EB7" w:rsidRPr="005206CA">
        <w:t>ational Farmers’ Federation</w:t>
      </w:r>
      <w:r w:rsidR="008926EA" w:rsidRPr="005206CA">
        <w:t xml:space="preserve"> (NFF)</w:t>
      </w:r>
      <w:r w:rsidRPr="005206CA">
        <w:t xml:space="preserve"> stated that agreements with aggregators are complex and there is ‘Suspicion of third party aggregators and lack of clear standards around their contracting’</w:t>
      </w:r>
      <w:r w:rsidR="00180455">
        <w:t xml:space="preserve"> (p. </w:t>
      </w:r>
      <w:r w:rsidR="00662776" w:rsidRPr="005206CA">
        <w:t>8)</w:t>
      </w:r>
      <w:r w:rsidRPr="005206CA">
        <w:t xml:space="preserve">. The NFF believes this is currently a barrier to landholders participating in aggregated projects. </w:t>
      </w:r>
    </w:p>
    <w:p w14:paraId="39B69FE0" w14:textId="73E2988D" w:rsidR="00897FA3" w:rsidRPr="005206CA" w:rsidRDefault="00897FA3" w:rsidP="00897FA3">
      <w:r w:rsidRPr="005206CA">
        <w:t xml:space="preserve">The </w:t>
      </w:r>
      <w:r w:rsidR="00F37384" w:rsidRPr="005206CA">
        <w:t>Department</w:t>
      </w:r>
      <w:r w:rsidRPr="005206CA">
        <w:t xml:space="preserve"> has developed a number of resources, which outline key issues that landholders should consider when entering into an aggregation agreement including a fact sheet, case studies and key questions document, which is designed to be printed and provided t</w:t>
      </w:r>
      <w:r w:rsidR="0031316A" w:rsidRPr="005206CA">
        <w:t xml:space="preserve">o landholders. These resources </w:t>
      </w:r>
      <w:r w:rsidRPr="005206CA">
        <w:t xml:space="preserve">provide information on issues that may arise in negotiating an aggregation agreement. They aim to help all parties to an ERF project understand the potential costs, benefits and risks of the project as well as the importance of clearly outlining what the roles and responsibilities of the landholders and aggregators are before making a decision to enter into a commercial arrangement </w:t>
      </w:r>
      <w:r w:rsidRPr="005206CA">
        <w:rPr>
          <w:rStyle w:val="In-textChar"/>
        </w:rPr>
        <w:t>(DoEE n.d.</w:t>
      </w:r>
      <w:r w:rsidR="00A4730B" w:rsidRPr="005206CA">
        <w:rPr>
          <w:rStyle w:val="In-textChar"/>
        </w:rPr>
        <w:t>a</w:t>
      </w:r>
      <w:r w:rsidRPr="005206CA">
        <w:t xml:space="preserve">). </w:t>
      </w:r>
    </w:p>
    <w:p w14:paraId="2E202F31" w14:textId="6681C4A8" w:rsidR="004B1F4F" w:rsidRPr="005206CA" w:rsidRDefault="00897FA3" w:rsidP="004B1F4F">
      <w:r w:rsidRPr="005206CA">
        <w:t xml:space="preserve">The Authority </w:t>
      </w:r>
      <w:r w:rsidR="00EA0233" w:rsidRPr="005206CA">
        <w:t>notes</w:t>
      </w:r>
      <w:r w:rsidRPr="005206CA">
        <w:t xml:space="preserve"> </w:t>
      </w:r>
      <w:r w:rsidR="00EA0233" w:rsidRPr="005206CA">
        <w:t xml:space="preserve">the ongoing </w:t>
      </w:r>
      <w:r w:rsidRPr="005206CA">
        <w:t xml:space="preserve">outreach on these resources by </w:t>
      </w:r>
      <w:r w:rsidR="00395365" w:rsidRPr="005206CA">
        <w:t xml:space="preserve">the </w:t>
      </w:r>
      <w:r w:rsidRPr="005206CA">
        <w:t xml:space="preserve">CER and </w:t>
      </w:r>
      <w:r w:rsidR="00F37384" w:rsidRPr="005206CA">
        <w:t>the Department</w:t>
      </w:r>
      <w:r w:rsidR="00EA0233" w:rsidRPr="005206CA">
        <w:t xml:space="preserve">. The Authority is of the view that </w:t>
      </w:r>
      <w:r w:rsidRPr="005206CA">
        <w:t xml:space="preserve">landholders </w:t>
      </w:r>
      <w:r w:rsidR="005B62E5">
        <w:t xml:space="preserve">should </w:t>
      </w:r>
      <w:r w:rsidRPr="005206CA">
        <w:t xml:space="preserve">be required to sign a declaration that they have read these resources. Aggregators would be responsible for providing these declarations to the </w:t>
      </w:r>
      <w:r w:rsidR="004B1F4F" w:rsidRPr="005206CA">
        <w:t>CER when registering a project.</w:t>
      </w:r>
    </w:p>
    <w:tbl>
      <w:tblPr>
        <w:tblStyle w:val="TableGrid"/>
        <w:tblW w:w="0" w:type="auto"/>
        <w:shd w:val="clear" w:color="auto" w:fill="E6ECF2"/>
        <w:tblLook w:val="04A0" w:firstRow="1" w:lastRow="0" w:firstColumn="1" w:lastColumn="0" w:noHBand="0" w:noVBand="1"/>
      </w:tblPr>
      <w:tblGrid>
        <w:gridCol w:w="9202"/>
      </w:tblGrid>
      <w:tr w:rsidR="004B1F4F" w:rsidRPr="005206CA" w14:paraId="371E2D50" w14:textId="77777777" w:rsidTr="004B1F4F">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23BF23F9" w14:textId="77777777" w:rsidR="004B1F4F" w:rsidRPr="005206CA" w:rsidRDefault="004B1F4F" w:rsidP="004B1F4F">
            <w:pPr>
              <w:rPr>
                <w:b/>
                <w:color w:val="159DCE"/>
                <w:sz w:val="18"/>
                <w:szCs w:val="18"/>
              </w:rPr>
            </w:pPr>
            <w:r w:rsidRPr="005206CA">
              <w:rPr>
                <w:b/>
                <w:color w:val="159DCE"/>
                <w:sz w:val="18"/>
                <w:szCs w:val="18"/>
              </w:rPr>
              <w:t>RECOMMENDATION</w:t>
            </w:r>
          </w:p>
          <w:p w14:paraId="76D3D1A2" w14:textId="2E142F06" w:rsidR="004B1F4F" w:rsidRPr="005206CA" w:rsidRDefault="004B1F4F" w:rsidP="00397C97">
            <w:pPr>
              <w:pStyle w:val="ListParagraph"/>
              <w:numPr>
                <w:ilvl w:val="0"/>
                <w:numId w:val="0"/>
              </w:numPr>
              <w:spacing w:after="140" w:line="320" w:lineRule="exact"/>
              <w:ind w:left="851" w:hanging="851"/>
              <w:rPr>
                <w:sz w:val="18"/>
                <w:szCs w:val="18"/>
              </w:rPr>
            </w:pPr>
            <w:bookmarkStart w:id="1008" w:name="_Ref497828164"/>
            <w:bookmarkStart w:id="1009" w:name="_Toc497827444"/>
            <w:bookmarkStart w:id="1010" w:name="_Toc497834080"/>
            <w:bookmarkStart w:id="1011" w:name="_Toc498534527"/>
            <w:bookmarkStart w:id="1012" w:name="_Toc498614722"/>
            <w:bookmarkStart w:id="1013" w:name="_Toc498691477"/>
            <w:bookmarkStart w:id="1014" w:name="_Toc499051676"/>
            <w:bookmarkStart w:id="1015" w:name="_Toc499202061"/>
            <w:bookmarkStart w:id="1016" w:name="_Toc499892344"/>
            <w:bookmarkStart w:id="1017" w:name="_Toc499898705"/>
            <w:bookmarkStart w:id="1018" w:name="_Toc499899345"/>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15</w:t>
            </w:r>
            <w:r w:rsidRPr="005206CA">
              <w:rPr>
                <w:rFonts w:cs="Arial"/>
                <w:sz w:val="18"/>
              </w:rPr>
              <w:fldChar w:fldCharType="end"/>
            </w:r>
            <w:bookmarkEnd w:id="1008"/>
            <w:r w:rsidRPr="005206CA">
              <w:rPr>
                <w:rFonts w:cs="Arial"/>
                <w:sz w:val="18"/>
              </w:rPr>
              <w:t xml:space="preserve">. </w:t>
            </w:r>
            <w:r w:rsidR="00044758" w:rsidRPr="005206CA">
              <w:rPr>
                <w:rFonts w:cs="Arial"/>
                <w:sz w:val="18"/>
              </w:rPr>
              <w:tab/>
            </w:r>
            <w:bookmarkStart w:id="1019" w:name="_Ref500236847"/>
            <w:r w:rsidRPr="005206CA">
              <w:rPr>
                <w:sz w:val="18"/>
                <w:szCs w:val="18"/>
              </w:rPr>
              <w:t>The C</w:t>
            </w:r>
            <w:r w:rsidR="00951588" w:rsidRPr="005206CA">
              <w:rPr>
                <w:sz w:val="18"/>
                <w:szCs w:val="18"/>
              </w:rPr>
              <w:t xml:space="preserve">lean </w:t>
            </w:r>
            <w:r w:rsidRPr="005206CA">
              <w:rPr>
                <w:sz w:val="18"/>
                <w:szCs w:val="18"/>
              </w:rPr>
              <w:t>E</w:t>
            </w:r>
            <w:r w:rsidR="00951588" w:rsidRPr="005206CA">
              <w:rPr>
                <w:sz w:val="18"/>
                <w:szCs w:val="18"/>
              </w:rPr>
              <w:t xml:space="preserve">nergy </w:t>
            </w:r>
            <w:r w:rsidRPr="005206CA">
              <w:rPr>
                <w:sz w:val="18"/>
                <w:szCs w:val="18"/>
              </w:rPr>
              <w:t>R</w:t>
            </w:r>
            <w:r w:rsidR="00951588" w:rsidRPr="005206CA">
              <w:rPr>
                <w:sz w:val="18"/>
                <w:szCs w:val="18"/>
              </w:rPr>
              <w:t>egulator</w:t>
            </w:r>
            <w:r w:rsidRPr="005206CA">
              <w:rPr>
                <w:sz w:val="18"/>
                <w:szCs w:val="18"/>
              </w:rPr>
              <w:t xml:space="preserve"> require a declaration from landholders that they have read the Department’s aggregation agreement resources </w:t>
            </w:r>
            <w:r w:rsidR="0097084B" w:rsidRPr="005206CA">
              <w:rPr>
                <w:sz w:val="18"/>
                <w:szCs w:val="18"/>
              </w:rPr>
              <w:t>prior to scheme participants</w:t>
            </w:r>
            <w:r w:rsidRPr="005206CA">
              <w:rPr>
                <w:sz w:val="18"/>
                <w:szCs w:val="18"/>
              </w:rPr>
              <w:t xml:space="preserve"> register</w:t>
            </w:r>
            <w:r w:rsidR="0097084B" w:rsidRPr="005206CA">
              <w:rPr>
                <w:sz w:val="18"/>
                <w:szCs w:val="18"/>
              </w:rPr>
              <w:t>ing</w:t>
            </w:r>
            <w:r w:rsidRPr="005206CA">
              <w:rPr>
                <w:sz w:val="18"/>
                <w:szCs w:val="18"/>
              </w:rPr>
              <w:t xml:space="preserve"> </w:t>
            </w:r>
            <w:r w:rsidR="0097084B" w:rsidRPr="005206CA">
              <w:rPr>
                <w:sz w:val="18"/>
                <w:szCs w:val="18"/>
              </w:rPr>
              <w:t>a</w:t>
            </w:r>
            <w:r w:rsidRPr="005206CA">
              <w:rPr>
                <w:sz w:val="18"/>
                <w:szCs w:val="18"/>
              </w:rPr>
              <w:t xml:space="preserve"> project</w:t>
            </w:r>
            <w:r w:rsidR="0097084B" w:rsidRPr="005206CA">
              <w:rPr>
                <w:sz w:val="18"/>
                <w:szCs w:val="18"/>
              </w:rPr>
              <w:t xml:space="preserve"> that involves multiple landholders</w:t>
            </w:r>
            <w:r w:rsidRPr="005206CA">
              <w:rPr>
                <w:sz w:val="18"/>
                <w:szCs w:val="18"/>
              </w:rPr>
              <w:t>.</w:t>
            </w:r>
            <w:bookmarkEnd w:id="1009"/>
            <w:bookmarkEnd w:id="1010"/>
            <w:bookmarkEnd w:id="1011"/>
            <w:bookmarkEnd w:id="1012"/>
            <w:bookmarkEnd w:id="1013"/>
            <w:bookmarkEnd w:id="1014"/>
            <w:bookmarkEnd w:id="1015"/>
            <w:bookmarkEnd w:id="1016"/>
            <w:bookmarkEnd w:id="1017"/>
            <w:bookmarkEnd w:id="1018"/>
            <w:bookmarkEnd w:id="1019"/>
          </w:p>
        </w:tc>
      </w:tr>
    </w:tbl>
    <w:p w14:paraId="1BBD1A79" w14:textId="77777777" w:rsidR="00897FA3" w:rsidRPr="005206CA" w:rsidRDefault="00897FA3" w:rsidP="00897FA3"/>
    <w:p w14:paraId="6CB5D0D8" w14:textId="1C85872B" w:rsidR="00D23E11" w:rsidRPr="005206CA" w:rsidRDefault="00517703" w:rsidP="00D23E11">
      <w:pPr>
        <w:pStyle w:val="Heading2"/>
      </w:pPr>
      <w:bookmarkStart w:id="1020" w:name="_Toc500251114"/>
      <w:bookmarkStart w:id="1021" w:name="_Toc500251389"/>
      <w:bookmarkStart w:id="1022" w:name="_Toc500253986"/>
      <w:bookmarkStart w:id="1023" w:name="_Toc500401493"/>
      <w:bookmarkStart w:id="1024" w:name="_Toc500490977"/>
      <w:bookmarkStart w:id="1025" w:name="_Toc500512919"/>
      <w:bookmarkStart w:id="1026" w:name="_Toc500514174"/>
      <w:bookmarkStart w:id="1027" w:name="_Toc500516231"/>
      <w:r w:rsidRPr="005206CA">
        <w:t xml:space="preserve">Increasing </w:t>
      </w:r>
      <w:r w:rsidR="00D23E11" w:rsidRPr="005206CA">
        <w:t>inf</w:t>
      </w:r>
      <w:r w:rsidR="005F7AEC">
        <w:t xml:space="preserve">ormation </w:t>
      </w:r>
      <w:r w:rsidR="00D23E11" w:rsidRPr="005206CA">
        <w:t>provision</w:t>
      </w:r>
      <w:bookmarkEnd w:id="1020"/>
      <w:bookmarkEnd w:id="1021"/>
      <w:bookmarkEnd w:id="1022"/>
      <w:bookmarkEnd w:id="1023"/>
      <w:bookmarkEnd w:id="1024"/>
      <w:bookmarkEnd w:id="1025"/>
      <w:bookmarkEnd w:id="1026"/>
      <w:bookmarkEnd w:id="1027"/>
    </w:p>
    <w:p w14:paraId="1C8D2386" w14:textId="6830DD48" w:rsidR="00D23E11" w:rsidRPr="005206CA" w:rsidRDefault="00D23E11" w:rsidP="00D23E11">
      <w:pPr>
        <w:rPr>
          <w:b/>
          <w:color w:val="159DCE"/>
          <w:sz w:val="18"/>
          <w:szCs w:val="18"/>
        </w:rPr>
      </w:pPr>
      <w:r w:rsidRPr="005206CA">
        <w:t xml:space="preserve">The Authority is of the view that some industry associations like the NFF and local government associations should consider offering advice on ERF projects to their members. These organisations have experience working with government and may be well placed to provide assistance in their industries or sectors. </w:t>
      </w:r>
    </w:p>
    <w:tbl>
      <w:tblPr>
        <w:tblStyle w:val="TableGrid"/>
        <w:tblW w:w="0" w:type="auto"/>
        <w:shd w:val="clear" w:color="auto" w:fill="E6ECF2"/>
        <w:tblLook w:val="04A0" w:firstRow="1" w:lastRow="0" w:firstColumn="1" w:lastColumn="0" w:noHBand="0" w:noVBand="1"/>
      </w:tblPr>
      <w:tblGrid>
        <w:gridCol w:w="9202"/>
      </w:tblGrid>
      <w:tr w:rsidR="00D23E11" w:rsidRPr="005206CA" w14:paraId="12E6AA32" w14:textId="77777777" w:rsidTr="00630909">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6D9895EE" w14:textId="77777777" w:rsidR="00D23E11" w:rsidRPr="005206CA" w:rsidRDefault="00D23E11" w:rsidP="00630909">
            <w:pPr>
              <w:rPr>
                <w:b/>
                <w:color w:val="159DCE"/>
                <w:sz w:val="18"/>
                <w:szCs w:val="18"/>
              </w:rPr>
            </w:pPr>
            <w:r w:rsidRPr="005206CA">
              <w:rPr>
                <w:b/>
                <w:color w:val="159DCE"/>
                <w:sz w:val="18"/>
                <w:szCs w:val="18"/>
              </w:rPr>
              <w:t>RECOMMENDATION</w:t>
            </w:r>
          </w:p>
          <w:p w14:paraId="11BCCBE4" w14:textId="49C7047B" w:rsidR="00D23E11" w:rsidRPr="005206CA" w:rsidRDefault="00D23E11" w:rsidP="00EA66A8">
            <w:pPr>
              <w:spacing w:after="140" w:line="320" w:lineRule="exact"/>
              <w:ind w:left="851" w:hanging="851"/>
            </w:pPr>
            <w:bookmarkStart w:id="1028" w:name="_Ref499897479"/>
            <w:bookmarkStart w:id="1029" w:name="_Toc499892345"/>
            <w:bookmarkStart w:id="1030" w:name="_Toc499898706"/>
            <w:bookmarkStart w:id="1031" w:name="_Toc499899346"/>
            <w:r w:rsidRPr="005206CA">
              <w:rPr>
                <w:rFonts w:cs="Arial"/>
                <w:sz w:val="18"/>
              </w:rPr>
              <w:t xml:space="preserve">R. </w:t>
            </w:r>
            <w:r w:rsidRPr="005206CA">
              <w:rPr>
                <w:rFonts w:cs="Arial"/>
                <w:sz w:val="18"/>
              </w:rPr>
              <w:fldChar w:fldCharType="begin"/>
            </w:r>
            <w:r w:rsidRPr="005206CA">
              <w:rPr>
                <w:rFonts w:cs="Arial"/>
                <w:sz w:val="18"/>
              </w:rPr>
              <w:instrText xml:space="preserve"> SEQ R. \* ARABIC </w:instrText>
            </w:r>
            <w:r w:rsidRPr="005206CA">
              <w:rPr>
                <w:rFonts w:cs="Arial"/>
                <w:sz w:val="18"/>
              </w:rPr>
              <w:fldChar w:fldCharType="separate"/>
            </w:r>
            <w:r w:rsidR="00FA2002">
              <w:rPr>
                <w:rFonts w:cs="Arial"/>
                <w:noProof/>
                <w:sz w:val="18"/>
              </w:rPr>
              <w:t>16</w:t>
            </w:r>
            <w:r w:rsidRPr="005206CA">
              <w:rPr>
                <w:rFonts w:cs="Arial"/>
                <w:sz w:val="18"/>
              </w:rPr>
              <w:fldChar w:fldCharType="end"/>
            </w:r>
            <w:bookmarkEnd w:id="1028"/>
            <w:r w:rsidRPr="005206CA">
              <w:rPr>
                <w:rFonts w:cs="Arial"/>
                <w:sz w:val="18"/>
              </w:rPr>
              <w:t xml:space="preserve">. </w:t>
            </w:r>
            <w:r w:rsidRPr="005206CA">
              <w:rPr>
                <w:rFonts w:cs="Arial"/>
                <w:sz w:val="18"/>
              </w:rPr>
              <w:tab/>
            </w:r>
            <w:bookmarkStart w:id="1032" w:name="_Ref500236857"/>
            <w:r w:rsidRPr="005206CA">
              <w:rPr>
                <w:rFonts w:cs="Arial"/>
                <w:sz w:val="18"/>
              </w:rPr>
              <w:t xml:space="preserve">Some </w:t>
            </w:r>
            <w:r w:rsidRPr="005206CA">
              <w:rPr>
                <w:sz w:val="18"/>
                <w:szCs w:val="18"/>
              </w:rPr>
              <w:t>industry bodies and local government associations</w:t>
            </w:r>
            <w:r w:rsidR="003D7D3E">
              <w:rPr>
                <w:sz w:val="18"/>
                <w:szCs w:val="18"/>
              </w:rPr>
              <w:t xml:space="preserve"> consider</w:t>
            </w:r>
            <w:r w:rsidRPr="005206CA">
              <w:rPr>
                <w:sz w:val="18"/>
                <w:szCs w:val="18"/>
              </w:rPr>
              <w:t xml:space="preserve"> provid</w:t>
            </w:r>
            <w:r w:rsidR="003D7D3E">
              <w:rPr>
                <w:sz w:val="18"/>
                <w:szCs w:val="18"/>
              </w:rPr>
              <w:t>ing</w:t>
            </w:r>
            <w:r w:rsidRPr="005206CA">
              <w:rPr>
                <w:sz w:val="18"/>
                <w:szCs w:val="18"/>
              </w:rPr>
              <w:t xml:space="preserve"> advice on Emissions Reduction Fund projects to</w:t>
            </w:r>
            <w:r w:rsidRPr="005206CA" w:rsidDel="001E3C5C">
              <w:rPr>
                <w:sz w:val="18"/>
                <w:szCs w:val="18"/>
              </w:rPr>
              <w:t xml:space="preserve"> </w:t>
            </w:r>
            <w:r w:rsidRPr="005206CA">
              <w:rPr>
                <w:sz w:val="18"/>
                <w:szCs w:val="18"/>
              </w:rPr>
              <w:t>their members</w:t>
            </w:r>
            <w:bookmarkEnd w:id="1029"/>
            <w:bookmarkEnd w:id="1030"/>
            <w:bookmarkEnd w:id="1031"/>
            <w:bookmarkEnd w:id="1032"/>
            <w:r w:rsidR="00EA66A8">
              <w:rPr>
                <w:sz w:val="18"/>
                <w:szCs w:val="18"/>
              </w:rPr>
              <w:t>.</w:t>
            </w:r>
            <w:r w:rsidRPr="005206CA">
              <w:rPr>
                <w:sz w:val="18"/>
                <w:szCs w:val="18"/>
              </w:rPr>
              <w:t xml:space="preserve"> </w:t>
            </w:r>
          </w:p>
        </w:tc>
      </w:tr>
    </w:tbl>
    <w:p w14:paraId="6A297971" w14:textId="77777777" w:rsidR="00D23E11" w:rsidRPr="005206CA" w:rsidRDefault="00D23E11" w:rsidP="00897FA3"/>
    <w:p w14:paraId="40AD6794" w14:textId="77777777" w:rsidR="00120927" w:rsidRPr="005206CA" w:rsidRDefault="00120927" w:rsidP="00A143AC">
      <w:pPr>
        <w:pStyle w:val="Heading1"/>
        <w:numPr>
          <w:ilvl w:val="0"/>
          <w:numId w:val="44"/>
        </w:numPr>
      </w:pPr>
      <w:bookmarkStart w:id="1033" w:name="_Toc497819490"/>
      <w:bookmarkStart w:id="1034" w:name="_Toc498691557"/>
      <w:bookmarkStart w:id="1035" w:name="_Toc499043738"/>
      <w:bookmarkStart w:id="1036" w:name="_Toc499051763"/>
      <w:bookmarkStart w:id="1037" w:name="_Ref500247363"/>
      <w:bookmarkStart w:id="1038" w:name="_Ref500248305"/>
      <w:bookmarkStart w:id="1039" w:name="_Toc500251115"/>
      <w:bookmarkStart w:id="1040" w:name="_Toc500251390"/>
      <w:bookmarkStart w:id="1041" w:name="_Toc500253987"/>
      <w:bookmarkStart w:id="1042" w:name="_Toc500401494"/>
      <w:bookmarkStart w:id="1043" w:name="_Toc500490978"/>
      <w:bookmarkStart w:id="1044" w:name="_Toc500512920"/>
      <w:bookmarkStart w:id="1045" w:name="_Toc500514175"/>
      <w:bookmarkStart w:id="1046" w:name="_Toc500516232"/>
      <w:r w:rsidRPr="005206CA">
        <w:t>Indigenous participation</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576B6784" w14:textId="3B50B033" w:rsidR="00120927" w:rsidRPr="005206CA" w:rsidRDefault="006D0CD4" w:rsidP="00120927">
      <w:r w:rsidRPr="005206CA">
        <w:t xml:space="preserve">The </w:t>
      </w:r>
      <w:r w:rsidR="0067188A" w:rsidRPr="005206CA">
        <w:t>Emissions Reduction Fund (</w:t>
      </w:r>
      <w:r w:rsidRPr="005206CA">
        <w:t>ERF</w:t>
      </w:r>
      <w:r w:rsidR="0067188A" w:rsidRPr="005206CA">
        <w:t>)</w:t>
      </w:r>
      <w:r w:rsidRPr="005206CA">
        <w:t xml:space="preserve"> can provide a range of important social, cultural and economic benefits to Indigenous communities. ERF projects using savanna burning methods (</w:t>
      </w:r>
      <w:r w:rsidR="00F610FD" w:rsidRPr="005206CA">
        <w:fldChar w:fldCharType="begin"/>
      </w:r>
      <w:r w:rsidR="00F610FD" w:rsidRPr="005206CA">
        <w:instrText xml:space="preserve"> REF _Ref497377721 \h </w:instrText>
      </w:r>
      <w:r w:rsidR="0002132E" w:rsidRPr="005206CA">
        <w:instrText xml:space="preserve"> \* MERGEFORMAT </w:instrText>
      </w:r>
      <w:r w:rsidR="00F610FD" w:rsidRPr="005206CA">
        <w:fldChar w:fldCharType="separate"/>
      </w:r>
      <w:r w:rsidR="00FA2002" w:rsidRPr="005206CA">
        <w:rPr>
          <w:rFonts w:cs="Arial"/>
        </w:rPr>
        <w:t xml:space="preserve">Box </w:t>
      </w:r>
      <w:r w:rsidR="00FA2002">
        <w:rPr>
          <w:rFonts w:cs="Arial"/>
          <w:noProof/>
        </w:rPr>
        <w:t>3</w:t>
      </w:r>
      <w:r w:rsidR="00F610FD" w:rsidRPr="005206CA">
        <w:fldChar w:fldCharType="end"/>
      </w:r>
      <w:r w:rsidRPr="005206CA">
        <w:t>) can help to maintain Indigenous cultural practices, increase employment, build community resilience in remote areas and enhance environmental outcomes while reducing emissions (</w:t>
      </w:r>
      <w:r w:rsidRPr="005206CA">
        <w:rPr>
          <w:rStyle w:val="In-textChar"/>
        </w:rPr>
        <w:t>Price et al. 2012</w:t>
      </w:r>
      <w:r w:rsidR="00753308">
        <w:rPr>
          <w:rStyle w:val="In-textChar"/>
        </w:rPr>
        <w:t>;</w:t>
      </w:r>
      <w:r w:rsidR="00753308" w:rsidRPr="005206CA">
        <w:rPr>
          <w:rStyle w:val="In-textChar"/>
        </w:rPr>
        <w:t xml:space="preserve"> </w:t>
      </w:r>
      <w:r w:rsidRPr="005206CA">
        <w:rPr>
          <w:rStyle w:val="In-textChar"/>
        </w:rPr>
        <w:t>Russell-Smith et al. 2013</w:t>
      </w:r>
      <w:r w:rsidRPr="005206CA">
        <w:t>).</w:t>
      </w:r>
    </w:p>
    <w:tbl>
      <w:tblPr>
        <w:tblStyle w:val="TableGrid"/>
        <w:tblW w:w="0" w:type="auto"/>
        <w:shd w:val="clear" w:color="auto" w:fill="E6ECF2"/>
        <w:tblLook w:val="04A0" w:firstRow="1" w:lastRow="0" w:firstColumn="1" w:lastColumn="0" w:noHBand="0" w:noVBand="1"/>
      </w:tblPr>
      <w:tblGrid>
        <w:gridCol w:w="9202"/>
      </w:tblGrid>
      <w:tr w:rsidR="00120927" w:rsidRPr="005206CA" w14:paraId="193A345A" w14:textId="77777777" w:rsidTr="00B14932">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4E6F091F" w14:textId="77777777" w:rsidR="00120927" w:rsidRPr="005206CA" w:rsidRDefault="00120927" w:rsidP="00B14932">
            <w:pPr>
              <w:pStyle w:val="CCAFigure"/>
              <w:rPr>
                <w:rFonts w:cs="Arial"/>
              </w:rPr>
            </w:pPr>
            <w:bookmarkStart w:id="1047" w:name="_Ref497377721"/>
            <w:bookmarkStart w:id="1048" w:name="_Toc497316957"/>
            <w:bookmarkStart w:id="1049" w:name="_Toc497377349"/>
            <w:bookmarkStart w:id="1050" w:name="_Toc497819444"/>
            <w:bookmarkStart w:id="1051" w:name="_Toc498691490"/>
            <w:bookmarkStart w:id="1052" w:name="_Toc499051689"/>
            <w:bookmarkStart w:id="1053" w:name="_Toc500251037"/>
            <w:bookmarkStart w:id="1054" w:name="_Toc500251312"/>
            <w:bookmarkStart w:id="1055" w:name="_Toc500253909"/>
            <w:bookmarkStart w:id="1056" w:name="_Toc500490900"/>
            <w:bookmarkStart w:id="1057" w:name="_Toc500513633"/>
            <w:bookmarkStart w:id="1058" w:name="_Toc500516154"/>
            <w:r w:rsidRPr="005206CA">
              <w:rPr>
                <w:rFonts w:cs="Arial"/>
              </w:rPr>
              <w:t xml:space="preserve">Box </w:t>
            </w:r>
            <w:r w:rsidRPr="005206CA">
              <w:rPr>
                <w:rFonts w:cs="Arial"/>
              </w:rPr>
              <w:fldChar w:fldCharType="begin"/>
            </w:r>
            <w:r w:rsidRPr="005206CA">
              <w:rPr>
                <w:rFonts w:cs="Arial"/>
              </w:rPr>
              <w:instrText xml:space="preserve"> SEQ Box \* ARABIC </w:instrText>
            </w:r>
            <w:r w:rsidRPr="005206CA">
              <w:rPr>
                <w:rFonts w:cs="Arial"/>
              </w:rPr>
              <w:fldChar w:fldCharType="separate"/>
            </w:r>
            <w:r w:rsidR="00FA2002">
              <w:rPr>
                <w:rFonts w:cs="Arial"/>
                <w:noProof/>
              </w:rPr>
              <w:t>3</w:t>
            </w:r>
            <w:r w:rsidRPr="005206CA">
              <w:rPr>
                <w:rFonts w:cs="Arial"/>
              </w:rPr>
              <w:fldChar w:fldCharType="end"/>
            </w:r>
            <w:bookmarkEnd w:id="1047"/>
            <w:r w:rsidRPr="005206CA">
              <w:rPr>
                <w:rFonts w:cs="Arial"/>
              </w:rPr>
              <w:t>: Savanna burning methods</w:t>
            </w:r>
            <w:bookmarkEnd w:id="1048"/>
            <w:bookmarkEnd w:id="1049"/>
            <w:bookmarkEnd w:id="1050"/>
            <w:bookmarkEnd w:id="1051"/>
            <w:bookmarkEnd w:id="1052"/>
            <w:bookmarkEnd w:id="1053"/>
            <w:bookmarkEnd w:id="1054"/>
            <w:bookmarkEnd w:id="1055"/>
            <w:bookmarkEnd w:id="1056"/>
            <w:bookmarkEnd w:id="1057"/>
            <w:bookmarkEnd w:id="1058"/>
          </w:p>
          <w:p w14:paraId="14BDBFC2" w14:textId="77777777" w:rsidR="00120927" w:rsidRPr="005206CA" w:rsidRDefault="00120927" w:rsidP="00B14932">
            <w:pPr>
              <w:rPr>
                <w:rFonts w:cs="Arial"/>
              </w:rPr>
            </w:pPr>
            <w:r w:rsidRPr="005206CA">
              <w:rPr>
                <w:rFonts w:cs="Arial"/>
              </w:rPr>
              <w:t xml:space="preserve">The savanna burning method under the ERF involves changing the timing and nature of fire practices in northern Australia to reduce emissions from fires. In northern Australian savannas, in the absence of active management, higher intensity fires that release large quantities of methane and nitrous oxide gases predominate late in the dry season when vegetation is very dry. Emissions are avoided through the savanna fire management method by actively burning in the early dry season to reduce the occurrence and extent of late dry season wild fires. </w:t>
            </w:r>
          </w:p>
          <w:p w14:paraId="4E72329E" w14:textId="700C6382" w:rsidR="00120927" w:rsidRPr="005206CA" w:rsidRDefault="00120927" w:rsidP="00B14932">
            <w:pPr>
              <w:rPr>
                <w:rFonts w:cs="Arial"/>
              </w:rPr>
            </w:pPr>
            <w:r w:rsidRPr="005206CA">
              <w:rPr>
                <w:rFonts w:cs="Arial"/>
              </w:rPr>
              <w:t>Savanna fire projects can also increase carbon storage relative to areas without early season fire management due to the cooler fires leaving more woody debris on the ground. By reducing the frequency of intense fires, the average carbon stock in the debris increases over time (</w:t>
            </w:r>
            <w:r w:rsidRPr="005206CA">
              <w:rPr>
                <w:rStyle w:val="In-textChar"/>
              </w:rPr>
              <w:t>Price et al. 2012</w:t>
            </w:r>
            <w:r w:rsidR="00753308">
              <w:rPr>
                <w:rStyle w:val="In-textChar"/>
              </w:rPr>
              <w:t>;</w:t>
            </w:r>
            <w:r w:rsidR="00753308" w:rsidRPr="005206CA">
              <w:rPr>
                <w:rStyle w:val="In-textChar"/>
              </w:rPr>
              <w:t xml:space="preserve"> </w:t>
            </w:r>
            <w:r w:rsidRPr="005206CA">
              <w:rPr>
                <w:rStyle w:val="In-textChar"/>
              </w:rPr>
              <w:t>Russell-Smith et al. 2013</w:t>
            </w:r>
            <w:r w:rsidR="00753308">
              <w:rPr>
                <w:rStyle w:val="In-textChar"/>
              </w:rPr>
              <w:t>;</w:t>
            </w:r>
            <w:r w:rsidR="00753308" w:rsidRPr="005206CA">
              <w:rPr>
                <w:rStyle w:val="In-textChar"/>
              </w:rPr>
              <w:t xml:space="preserve"> </w:t>
            </w:r>
            <w:r w:rsidRPr="005206CA">
              <w:rPr>
                <w:rStyle w:val="In-textChar"/>
              </w:rPr>
              <w:t>Smith et al. 2008</w:t>
            </w:r>
            <w:r w:rsidRPr="005206CA">
              <w:rPr>
                <w:rFonts w:cs="Arial"/>
              </w:rPr>
              <w:t xml:space="preserve">). </w:t>
            </w:r>
          </w:p>
          <w:p w14:paraId="0E0CB9A2" w14:textId="77777777" w:rsidR="00120927" w:rsidRPr="005206CA" w:rsidRDefault="00120927" w:rsidP="00B14932">
            <w:pPr>
              <w:rPr>
                <w:rFonts w:cs="Arial"/>
              </w:rPr>
            </w:pPr>
            <w:r w:rsidRPr="005206CA">
              <w:rPr>
                <w:rFonts w:cs="Arial"/>
              </w:rPr>
              <w:t>The Government is developing a new savanna burning method for crediting both the avoided (mainly methane) emissions from early dry season burning as well as increases in the storage of carbon as a result of savanna fire projects.</w:t>
            </w:r>
          </w:p>
        </w:tc>
      </w:tr>
    </w:tbl>
    <w:p w14:paraId="777B0BDD" w14:textId="77777777" w:rsidR="007E0199" w:rsidRDefault="007E0199" w:rsidP="00E01EC4">
      <w:pPr>
        <w:spacing w:before="120"/>
      </w:pPr>
    </w:p>
    <w:p w14:paraId="68F71285" w14:textId="4335C32A" w:rsidR="006D0CD4" w:rsidRPr="005206CA" w:rsidRDefault="006D0CD4" w:rsidP="0088014E">
      <w:pPr>
        <w:spacing w:before="120"/>
      </w:pPr>
      <w:r w:rsidRPr="005206CA">
        <w:t>There are currently 7</w:t>
      </w:r>
      <w:r w:rsidR="00B6367C" w:rsidRPr="005206CA">
        <w:t>2</w:t>
      </w:r>
      <w:r w:rsidRPr="005206CA">
        <w:t xml:space="preserve"> savanna burning projects registered under the ERF</w:t>
      </w:r>
      <w:r w:rsidR="004D5389">
        <w:t xml:space="preserve"> (</w:t>
      </w:r>
      <w:r w:rsidR="004D5389" w:rsidRPr="00AC7279">
        <w:rPr>
          <w:rStyle w:val="In-textChar"/>
        </w:rPr>
        <w:t>CER 2017n</w:t>
      </w:r>
      <w:r w:rsidR="004D5389">
        <w:t>)</w:t>
      </w:r>
      <w:r w:rsidRPr="005206CA">
        <w:t>, covering over 10</w:t>
      </w:r>
      <w:r w:rsidR="003801B5" w:rsidRPr="005206CA">
        <w:t> </w:t>
      </w:r>
      <w:r w:rsidRPr="005206CA">
        <w:t xml:space="preserve">per cent of northern Australia. About 29 of these projects are considered Indigenous projects because of the significant involvement of local traditional owners through control of the project, ownership of the land and participation in delivery of the project </w:t>
      </w:r>
      <w:r w:rsidRPr="0088014E">
        <w:rPr>
          <w:spacing w:val="-2"/>
        </w:rPr>
        <w:t>(Aboriginal Carbon Fund</w:t>
      </w:r>
      <w:r w:rsidR="0088014E" w:rsidRPr="0088014E">
        <w:rPr>
          <w:spacing w:val="-2"/>
        </w:rPr>
        <w:t xml:space="preserve"> </w:t>
      </w:r>
      <w:r w:rsidR="00701FD9">
        <w:rPr>
          <w:spacing w:val="-2"/>
        </w:rPr>
        <w:t>2017</w:t>
      </w:r>
      <w:r w:rsidRPr="0088014E">
        <w:rPr>
          <w:spacing w:val="-2"/>
        </w:rPr>
        <w:t>).</w:t>
      </w:r>
      <w:r w:rsidRPr="005206CA">
        <w:t xml:space="preserve"> </w:t>
      </w:r>
    </w:p>
    <w:p w14:paraId="698E7080" w14:textId="1F940F15" w:rsidR="00E01EC4" w:rsidRPr="005206CA" w:rsidRDefault="006D0CD4" w:rsidP="006D0CD4">
      <w:r w:rsidRPr="005206CA">
        <w:t xml:space="preserve">In their </w:t>
      </w:r>
      <w:r w:rsidR="007E5547" w:rsidRPr="005206CA">
        <w:t>submission on</w:t>
      </w:r>
      <w:r w:rsidRPr="005206CA">
        <w:t xml:space="preserve"> this review, Arnhem Land Fire Abatement</w:t>
      </w:r>
      <w:r w:rsidR="0067188A" w:rsidRPr="005206CA">
        <w:t xml:space="preserve"> (ALFA)</w:t>
      </w:r>
      <w:r w:rsidRPr="005206CA">
        <w:t xml:space="preserve"> said that</w:t>
      </w:r>
      <w:r w:rsidR="003801B5" w:rsidRPr="005206CA">
        <w:t>:</w:t>
      </w:r>
      <w:r w:rsidRPr="005206CA">
        <w:t xml:space="preserve"> </w:t>
      </w:r>
    </w:p>
    <w:p w14:paraId="187EC5D4" w14:textId="29FB3E67" w:rsidR="006D0CD4" w:rsidRPr="005206CA" w:rsidRDefault="00486A9D" w:rsidP="00AC7279">
      <w:pPr>
        <w:ind w:left="284"/>
        <w:rPr>
          <w:i/>
        </w:rPr>
      </w:pPr>
      <w:r w:rsidRPr="005206CA">
        <w:rPr>
          <w:i/>
        </w:rPr>
        <w:t>…</w:t>
      </w:r>
      <w:r w:rsidR="006D0CD4" w:rsidRPr="005206CA">
        <w:rPr>
          <w:i/>
        </w:rPr>
        <w:t>savanna burning projects in Arnhem Land create ACCUs that support the continuing beneficial management of a vast area of country of high conservation value. The production of those ACCUs support Aboriginal people in returning to, working and remaining on their country. In doing so, the knowledge of old people is preserved and transferred to younger generations, Aboriginal languages are maintained and people involved in managing their land have higher standards</w:t>
      </w:r>
      <w:r w:rsidRPr="005206CA">
        <w:rPr>
          <w:i/>
        </w:rPr>
        <w:t xml:space="preserve"> of mental and physical health</w:t>
      </w:r>
      <w:r w:rsidR="00662776" w:rsidRPr="005206CA">
        <w:rPr>
          <w:i/>
        </w:rPr>
        <w:t xml:space="preserve"> </w:t>
      </w:r>
      <w:r w:rsidR="00662776" w:rsidRPr="005206CA">
        <w:t>(p.3)</w:t>
      </w:r>
      <w:r w:rsidRPr="005206CA">
        <w:t>.</w:t>
      </w:r>
    </w:p>
    <w:p w14:paraId="04BE6806" w14:textId="77777777" w:rsidR="00A76ACF" w:rsidRPr="005206CA" w:rsidRDefault="006D0CD4" w:rsidP="00A76ACF">
      <w:r w:rsidRPr="005206CA">
        <w:t>The Kimberley Land Council</w:t>
      </w:r>
      <w:r w:rsidR="0067188A" w:rsidRPr="005206CA">
        <w:t xml:space="preserve"> (KLC)</w:t>
      </w:r>
      <w:r w:rsidRPr="005206CA">
        <w:t xml:space="preserve"> said in their submission</w:t>
      </w:r>
      <w:r w:rsidR="00662776" w:rsidRPr="005206CA">
        <w:t xml:space="preserve"> on this review</w:t>
      </w:r>
      <w:r w:rsidRPr="005206CA">
        <w:t xml:space="preserve"> that ERF projects</w:t>
      </w:r>
    </w:p>
    <w:p w14:paraId="52781BFF" w14:textId="049A140A" w:rsidR="006D0CD4" w:rsidRPr="005206CA" w:rsidRDefault="006D0CD4" w:rsidP="00AC7279">
      <w:pPr>
        <w:ind w:left="284"/>
      </w:pPr>
      <w:r w:rsidRPr="00AC7279">
        <w:rPr>
          <w:i/>
        </w:rPr>
        <w:t>herald a new era for native title holders, demonstrating how native title rights and traditional Indigenous practices can form the foundation for innovative projects, generating social, environmental and economic benefits in remote communities</w:t>
      </w:r>
      <w:r w:rsidR="00662776" w:rsidRPr="005206CA">
        <w:t xml:space="preserve"> (p. 1)</w:t>
      </w:r>
      <w:r w:rsidRPr="005206CA">
        <w:t xml:space="preserve">. </w:t>
      </w:r>
    </w:p>
    <w:p w14:paraId="64D6F880" w14:textId="77777777" w:rsidR="006D0CD4" w:rsidRPr="005206CA" w:rsidRDefault="006D0CD4" w:rsidP="006D0CD4">
      <w:r w:rsidRPr="005206CA">
        <w:t xml:space="preserve">In this review, the Authority asked stakeholders for their views on the barriers to Indigenous participation in the ERF (including eligible interest holder arrangements) and how they can be addressed. These issues are outlined below. </w:t>
      </w:r>
    </w:p>
    <w:p w14:paraId="260831CD" w14:textId="77777777" w:rsidR="006D0CD4" w:rsidRPr="005206CA" w:rsidRDefault="00120927">
      <w:pPr>
        <w:pStyle w:val="Heading2"/>
      </w:pPr>
      <w:bookmarkStart w:id="1059" w:name="_Toc497819491"/>
      <w:bookmarkStart w:id="1060" w:name="_Toc498691558"/>
      <w:bookmarkStart w:id="1061" w:name="_Toc499043739"/>
      <w:bookmarkStart w:id="1062" w:name="_Toc499051764"/>
      <w:bookmarkStart w:id="1063" w:name="_Toc500251116"/>
      <w:bookmarkStart w:id="1064" w:name="_Toc500251391"/>
      <w:bookmarkStart w:id="1065" w:name="_Toc500253988"/>
      <w:bookmarkStart w:id="1066" w:name="_Toc500401495"/>
      <w:bookmarkStart w:id="1067" w:name="_Toc500490979"/>
      <w:bookmarkStart w:id="1068" w:name="_Toc500512921"/>
      <w:bookmarkStart w:id="1069" w:name="_Toc500514176"/>
      <w:bookmarkStart w:id="1070" w:name="_Toc500516233"/>
      <w:r w:rsidRPr="005206CA">
        <w:t>Eligible interest holder consents</w:t>
      </w:r>
      <w:bookmarkEnd w:id="1059"/>
      <w:bookmarkEnd w:id="1060"/>
      <w:bookmarkEnd w:id="1061"/>
      <w:bookmarkEnd w:id="1062"/>
      <w:bookmarkEnd w:id="1063"/>
      <w:bookmarkEnd w:id="1064"/>
      <w:bookmarkEnd w:id="1065"/>
      <w:bookmarkEnd w:id="1066"/>
      <w:bookmarkEnd w:id="1067"/>
      <w:bookmarkEnd w:id="1068"/>
      <w:bookmarkEnd w:id="1069"/>
      <w:bookmarkEnd w:id="1070"/>
    </w:p>
    <w:p w14:paraId="236B3D25" w14:textId="36C0ABAC" w:rsidR="006D0CD4" w:rsidRPr="005206CA" w:rsidRDefault="006D0CD4" w:rsidP="006D0CD4">
      <w:r w:rsidRPr="005206CA">
        <w:t xml:space="preserve">Under the current </w:t>
      </w:r>
      <w:r w:rsidR="0067188A" w:rsidRPr="005206CA">
        <w:rPr>
          <w:i/>
        </w:rPr>
        <w:t xml:space="preserve">Carbon Credits (Carbon Farming Initiative) </w:t>
      </w:r>
      <w:r w:rsidRPr="005206CA">
        <w:rPr>
          <w:i/>
        </w:rPr>
        <w:t>Act</w:t>
      </w:r>
      <w:r w:rsidR="0067188A" w:rsidRPr="005206CA">
        <w:rPr>
          <w:i/>
        </w:rPr>
        <w:t xml:space="preserve"> 2011</w:t>
      </w:r>
      <w:r w:rsidR="0067188A" w:rsidRPr="005206CA">
        <w:t xml:space="preserve"> (</w:t>
      </w:r>
      <w:r w:rsidR="0067188A" w:rsidRPr="00AC7279">
        <w:rPr>
          <w:rStyle w:val="In-textChar"/>
        </w:rPr>
        <w:t>Cth</w:t>
      </w:r>
      <w:r w:rsidR="0067188A" w:rsidRPr="005206CA">
        <w:t>)</w:t>
      </w:r>
      <w:r w:rsidRPr="005206CA">
        <w:t xml:space="preserve">, </w:t>
      </w:r>
      <w:r w:rsidR="00C327F1" w:rsidRPr="005206CA">
        <w:t>scheme participants with</w:t>
      </w:r>
      <w:r w:rsidRPr="005206CA">
        <w:t xml:space="preserve"> savanna emissions avoidance and sequestration project</w:t>
      </w:r>
      <w:r w:rsidR="00C327F1" w:rsidRPr="005206CA">
        <w:t>s</w:t>
      </w:r>
      <w:r w:rsidRPr="005206CA">
        <w:t xml:space="preserve"> need to obtain eligible interest holder consent from native title holders. Indigenous groups have secured financial or other benefits through negotiations on ERF consent requirements.</w:t>
      </w:r>
    </w:p>
    <w:p w14:paraId="64158CB4" w14:textId="25FF78E9" w:rsidR="006D0CD4" w:rsidRPr="005206CA" w:rsidRDefault="006D0CD4" w:rsidP="006D0CD4">
      <w:r w:rsidRPr="005206CA">
        <w:t>An ERF project can be conditionally registered, bid at auction and obtain a contract from the Government without obtaining eligible interest holder consents. However,</w:t>
      </w:r>
      <w:r w:rsidR="0067188A" w:rsidRPr="005206CA">
        <w:t xml:space="preserve"> Australian Carbon Credit Units (</w:t>
      </w:r>
      <w:r w:rsidRPr="005206CA">
        <w:t>ACCUs</w:t>
      </w:r>
      <w:r w:rsidR="0067188A" w:rsidRPr="005206CA">
        <w:t>)</w:t>
      </w:r>
      <w:r w:rsidRPr="005206CA">
        <w:t xml:space="preserve"> can only be </w:t>
      </w:r>
      <w:r w:rsidR="0064513C">
        <w:t>issued</w:t>
      </w:r>
      <w:r w:rsidR="0064513C" w:rsidRPr="005206CA">
        <w:t xml:space="preserve"> </w:t>
      </w:r>
      <w:r w:rsidRPr="005206CA">
        <w:t>if all consents are received by the end of the first reporting period.</w:t>
      </w:r>
    </w:p>
    <w:p w14:paraId="29C3D48C" w14:textId="7473F403" w:rsidR="006D0CD4" w:rsidRPr="005206CA" w:rsidRDefault="006D0CD4" w:rsidP="006D0CD4">
      <w:r w:rsidRPr="005206CA">
        <w:t xml:space="preserve">The Aboriginal Carbon Fund in its </w:t>
      </w:r>
      <w:r w:rsidR="007E5547" w:rsidRPr="005206CA">
        <w:t>submission on</w:t>
      </w:r>
      <w:r w:rsidRPr="005206CA">
        <w:t xml:space="preserve"> the 2017 </w:t>
      </w:r>
      <w:r w:rsidR="00662776" w:rsidRPr="005206CA">
        <w:t>r</w:t>
      </w:r>
      <w:r w:rsidRPr="005206CA">
        <w:t xml:space="preserve">eview highlighted the importance of the consent process as it </w:t>
      </w:r>
      <w:r w:rsidR="005D4D16" w:rsidRPr="005206CA">
        <w:t>‘</w:t>
      </w:r>
      <w:r w:rsidRPr="005206CA">
        <w:t>means all those who could be affected by later Regulator actions have a say before a project proceeds</w:t>
      </w:r>
      <w:r w:rsidR="005D4D16" w:rsidRPr="005206CA">
        <w:t>’</w:t>
      </w:r>
      <w:r w:rsidR="00E276EA" w:rsidRPr="005206CA">
        <w:t>.</w:t>
      </w:r>
      <w:r w:rsidR="004F489B" w:rsidRPr="005206CA">
        <w:t xml:space="preserve"> </w:t>
      </w:r>
      <w:r w:rsidR="004F489B" w:rsidRPr="005206CA" w:rsidDel="00E276EA">
        <w:t>(Reference material A, pp.</w:t>
      </w:r>
      <w:r w:rsidR="00166849" w:rsidRPr="005206CA" w:rsidDel="00E276EA">
        <w:t> </w:t>
      </w:r>
      <w:r w:rsidR="004F489B" w:rsidRPr="005206CA" w:rsidDel="00E276EA">
        <w:t>1-2)</w:t>
      </w:r>
      <w:r w:rsidR="0067188A" w:rsidRPr="005206CA" w:rsidDel="00E276EA">
        <w:t>.</w:t>
      </w:r>
      <w:r w:rsidR="004F489B" w:rsidRPr="005206CA" w:rsidDel="00E276EA">
        <w:t xml:space="preserve"> </w:t>
      </w:r>
      <w:r w:rsidRPr="005206CA" w:rsidDel="00E276EA">
        <w:t xml:space="preserve"> </w:t>
      </w:r>
      <w:r w:rsidRPr="005206CA">
        <w:t xml:space="preserve">They also said </w:t>
      </w:r>
      <w:r w:rsidR="005D4D16" w:rsidRPr="005206CA">
        <w:t>‘</w:t>
      </w:r>
      <w:r w:rsidRPr="005206CA">
        <w:t>best practice for obtaining consent from Aboriginal and Torres Strait Islander landholders is following free, prior and informed consent</w:t>
      </w:r>
      <w:r w:rsidR="005D4D16" w:rsidRPr="005206CA">
        <w:t>’</w:t>
      </w:r>
      <w:r w:rsidR="004F489B" w:rsidRPr="005206CA">
        <w:t xml:space="preserve"> (p. 3).</w:t>
      </w:r>
      <w:r w:rsidR="00E276EA" w:rsidRPr="005206CA">
        <w:t xml:space="preserve"> </w:t>
      </w:r>
    </w:p>
    <w:p w14:paraId="58BDBBB3" w14:textId="60D3F197" w:rsidR="006D0CD4" w:rsidRPr="005206CA" w:rsidRDefault="006D0CD4" w:rsidP="006D0CD4">
      <w:r w:rsidRPr="005206CA">
        <w:t xml:space="preserve">Further, </w:t>
      </w:r>
      <w:r w:rsidR="0067188A" w:rsidRPr="005206CA">
        <w:t>KLC</w:t>
      </w:r>
      <w:r w:rsidRPr="005206CA">
        <w:t xml:space="preserve"> said that the ability for projects to be registered and win contracts before consents are given ‘undermines relationships, disempowers native title holders and creates significant power imbalance when negotiating partnerships and agreements’ (KLC </w:t>
      </w:r>
      <w:r w:rsidR="00B75EE9" w:rsidRPr="005206CA">
        <w:t>s</w:t>
      </w:r>
      <w:r w:rsidR="007E5547" w:rsidRPr="005206CA">
        <w:t>ubmission on</w:t>
      </w:r>
      <w:r w:rsidR="00C327F1" w:rsidRPr="005206CA">
        <w:t xml:space="preserve"> this review</w:t>
      </w:r>
      <w:r w:rsidR="004F489B" w:rsidRPr="005206CA">
        <w:t>, p. 4</w:t>
      </w:r>
      <w:r w:rsidRPr="005206CA">
        <w:t xml:space="preserve">). </w:t>
      </w:r>
    </w:p>
    <w:p w14:paraId="01D6AEC1" w14:textId="44E228B1" w:rsidR="006D0CD4" w:rsidRPr="005206CA" w:rsidRDefault="006D0CD4" w:rsidP="006D0CD4">
      <w:r w:rsidRPr="005206CA">
        <w:t xml:space="preserve">In response to these concerns, the Authority recommends that while projects could still be registered without all the consents, the </w:t>
      </w:r>
      <w:r w:rsidR="003376C4">
        <w:t>Clean Energy Regulator</w:t>
      </w:r>
      <w:r w:rsidRPr="005206CA">
        <w:t xml:space="preserve"> </w:t>
      </w:r>
      <w:r w:rsidR="003376C4">
        <w:t>(</w:t>
      </w:r>
      <w:r w:rsidRPr="005206CA">
        <w:t>CER</w:t>
      </w:r>
      <w:r w:rsidR="003376C4">
        <w:t>)</w:t>
      </w:r>
      <w:r w:rsidRPr="005206CA">
        <w:t xml:space="preserve"> should require that </w:t>
      </w:r>
      <w:r w:rsidR="00A60864" w:rsidRPr="005206CA">
        <w:t>scheme participants</w:t>
      </w:r>
      <w:r w:rsidRPr="005206CA">
        <w:t xml:space="preserve"> have all consents in place before participati</w:t>
      </w:r>
      <w:r w:rsidR="00A60864" w:rsidRPr="005206CA">
        <w:t>ng in future ERF auctions</w:t>
      </w:r>
      <w:r w:rsidRPr="005206CA">
        <w:t>.</w:t>
      </w:r>
    </w:p>
    <w:p w14:paraId="23FAC4BB" w14:textId="20D304FC" w:rsidR="006D0CD4" w:rsidRPr="005206CA" w:rsidRDefault="006D0CD4" w:rsidP="006D0CD4">
      <w:r w:rsidRPr="005206CA">
        <w:t xml:space="preserve">Further, the Authority is of the view that consultation </w:t>
      </w:r>
      <w:r w:rsidR="00166849" w:rsidRPr="005206CA">
        <w:t>should occur</w:t>
      </w:r>
      <w:r w:rsidRPr="005206CA">
        <w:t xml:space="preserve"> with all eligible interest holders as early as possible in the project development process. Early and genuine engagement will assist all parties to better understand the potential impacts of the ERF project on the land in question. Opportunities to share concerns and ways to address them through consultation could also assist in achieving a mutually beneficial and long-term agreement between </w:t>
      </w:r>
      <w:r w:rsidR="00C327F1" w:rsidRPr="005206CA">
        <w:t>scheme participants</w:t>
      </w:r>
      <w:r w:rsidRPr="005206CA">
        <w:t xml:space="preserve"> and eligible interest holders. </w:t>
      </w:r>
    </w:p>
    <w:p w14:paraId="665A10A0" w14:textId="3E7A37EB" w:rsidR="00120927" w:rsidRPr="005206CA" w:rsidRDefault="006D0CD4" w:rsidP="00120927">
      <w:r w:rsidRPr="005206CA">
        <w:t xml:space="preserve">The Authority recommends that </w:t>
      </w:r>
      <w:r w:rsidR="00C327F1" w:rsidRPr="005206CA">
        <w:t>scheme participants</w:t>
      </w:r>
      <w:r w:rsidRPr="005206CA">
        <w:t xml:space="preserve"> notify </w:t>
      </w:r>
      <w:r w:rsidR="001F6BFA" w:rsidRPr="005206CA">
        <w:t xml:space="preserve">and engage with </w:t>
      </w:r>
      <w:r w:rsidRPr="005206CA">
        <w:t xml:space="preserve">eligible interest holders of their intent to register a project. Registered Native Title Body Corporates should be notified as bodies that represent determined native title holders. Additionally, the </w:t>
      </w:r>
      <w:r w:rsidR="00C327F1" w:rsidRPr="005206CA">
        <w:t>scheme participant</w:t>
      </w:r>
      <w:r w:rsidRPr="005206CA">
        <w:t xml:space="preserve"> must also provide the CER with evidence that this engagement took place when projects are registered. Evidence could take the form of signed meeting notes or agreements for example. The Authority considers that the benefits of such engagement in terms of encouraging consultation early in the project development process outweighs the relatively small additional administ</w:t>
      </w:r>
      <w:r w:rsidR="00120927" w:rsidRPr="005206CA">
        <w:t xml:space="preserve">rative costs that would arise. </w:t>
      </w:r>
    </w:p>
    <w:p w14:paraId="283CC10A" w14:textId="77777777" w:rsidR="006D0CD4" w:rsidRPr="005206CA" w:rsidRDefault="00120927">
      <w:pPr>
        <w:pStyle w:val="Heading2"/>
      </w:pPr>
      <w:bookmarkStart w:id="1071" w:name="_Toc497819492"/>
      <w:bookmarkStart w:id="1072" w:name="_Toc498691559"/>
      <w:bookmarkStart w:id="1073" w:name="_Toc499043740"/>
      <w:bookmarkStart w:id="1074" w:name="_Toc499051765"/>
      <w:bookmarkStart w:id="1075" w:name="_Toc500251117"/>
      <w:bookmarkStart w:id="1076" w:name="_Toc500251392"/>
      <w:bookmarkStart w:id="1077" w:name="_Toc500253989"/>
      <w:bookmarkStart w:id="1078" w:name="_Toc500401496"/>
      <w:bookmarkStart w:id="1079" w:name="_Toc500490980"/>
      <w:bookmarkStart w:id="1080" w:name="_Toc500512922"/>
      <w:bookmarkStart w:id="1081" w:name="_Toc500514177"/>
      <w:bookmarkStart w:id="1082" w:name="_Toc500516234"/>
      <w:r w:rsidRPr="005206CA">
        <w:t>Demonstrating legal right</w:t>
      </w:r>
      <w:bookmarkEnd w:id="1071"/>
      <w:bookmarkEnd w:id="1072"/>
      <w:bookmarkEnd w:id="1073"/>
      <w:bookmarkEnd w:id="1074"/>
      <w:bookmarkEnd w:id="1075"/>
      <w:bookmarkEnd w:id="1076"/>
      <w:bookmarkEnd w:id="1077"/>
      <w:bookmarkEnd w:id="1078"/>
      <w:bookmarkEnd w:id="1079"/>
      <w:bookmarkEnd w:id="1080"/>
      <w:bookmarkEnd w:id="1081"/>
      <w:bookmarkEnd w:id="1082"/>
    </w:p>
    <w:p w14:paraId="3DC65A39" w14:textId="77777777" w:rsidR="006D0CD4" w:rsidRPr="005206CA" w:rsidRDefault="006D0CD4" w:rsidP="006D0CD4">
      <w:r w:rsidRPr="005206CA">
        <w:t xml:space="preserve">Demonstrating legal right for a project undertaken on exclusive possession native title land is relatively straight-forward as the rights of the landholder are similar to those for free-hold land. In these cases, the CFI Act recognises the Registered Native Title Body Corporate as the </w:t>
      </w:r>
      <w:r w:rsidR="00A60864" w:rsidRPr="005206CA">
        <w:t>scheme participant</w:t>
      </w:r>
      <w:r w:rsidRPr="005206CA">
        <w:t xml:space="preserve">. However, determining who has the legal right to undertake projects on non-exclusive native title lands can be more difficult. This is because it can be unclear whether the native title determination covers </w:t>
      </w:r>
      <w:r w:rsidR="00436BAB" w:rsidRPr="005206CA">
        <w:t xml:space="preserve">activities such as </w:t>
      </w:r>
      <w:r w:rsidRPr="005206CA">
        <w:t>savanna burning or whether a pastoral lease (for example) gives the pastoralist the legal right to undertake these same activities.</w:t>
      </w:r>
    </w:p>
    <w:p w14:paraId="7D802262" w14:textId="77777777" w:rsidR="006D0CD4" w:rsidRPr="005206CA" w:rsidRDefault="006D0CD4" w:rsidP="006D0CD4">
      <w:r w:rsidRPr="005206CA">
        <w:t xml:space="preserve">The CER assesses claims to legal right on a case by case basis, and the onus is on </w:t>
      </w:r>
      <w:r w:rsidR="00C327F1" w:rsidRPr="005206CA">
        <w:t>scheme participants</w:t>
      </w:r>
      <w:r w:rsidRPr="005206CA">
        <w:t xml:space="preserve"> to provide evidence that they have resolved any disputes regarding legal right before a project will be registered. </w:t>
      </w:r>
    </w:p>
    <w:p w14:paraId="37B3F619" w14:textId="1F65016A" w:rsidR="006D0CD4" w:rsidRPr="005206CA" w:rsidRDefault="006D0CD4" w:rsidP="006D0CD4">
      <w:r w:rsidRPr="005206CA">
        <w:t xml:space="preserve">The Authority notes that the case law on such matters relating to native title is dynamic and that there are strongly held but markedly different views among stakeholders. See for example submissions </w:t>
      </w:r>
      <w:r w:rsidR="004F489B" w:rsidRPr="005206CA">
        <w:t>on</w:t>
      </w:r>
      <w:r w:rsidRPr="005206CA">
        <w:t xml:space="preserve"> this review and the 2017 </w:t>
      </w:r>
      <w:r w:rsidR="002874CD" w:rsidRPr="005206CA">
        <w:t>r</w:t>
      </w:r>
      <w:r w:rsidRPr="005206CA">
        <w:t xml:space="preserve">eview from KLC, Aboriginal Carbon </w:t>
      </w:r>
      <w:r w:rsidR="00436BAB" w:rsidRPr="005206CA">
        <w:t>Fund</w:t>
      </w:r>
      <w:r w:rsidRPr="005206CA">
        <w:t xml:space="preserve">, Country Carbon and </w:t>
      </w:r>
      <w:r w:rsidR="00A60864" w:rsidRPr="005206CA">
        <w:t xml:space="preserve">the </w:t>
      </w:r>
      <w:r w:rsidRPr="005206CA">
        <w:t>N</w:t>
      </w:r>
      <w:r w:rsidR="0067188A" w:rsidRPr="005206CA">
        <w:t xml:space="preserve">ational </w:t>
      </w:r>
      <w:r w:rsidRPr="005206CA">
        <w:t>F</w:t>
      </w:r>
      <w:r w:rsidR="0067188A" w:rsidRPr="005206CA">
        <w:t xml:space="preserve">armers’ </w:t>
      </w:r>
      <w:r w:rsidRPr="005206CA">
        <w:t>F</w:t>
      </w:r>
      <w:r w:rsidR="0067188A" w:rsidRPr="005206CA">
        <w:t>ederation</w:t>
      </w:r>
      <w:r w:rsidRPr="005206CA">
        <w:t xml:space="preserve">. </w:t>
      </w:r>
    </w:p>
    <w:p w14:paraId="0DF4F786" w14:textId="1DE85C50" w:rsidR="00AD0C11" w:rsidRPr="005206CA" w:rsidRDefault="006D0CD4" w:rsidP="00AD0C11">
      <w:r w:rsidRPr="005206CA">
        <w:t xml:space="preserve">The Authority is not in a position to make a judgement on these complex legal matters. However, the Authority is of the view that the CER should encourage </w:t>
      </w:r>
      <w:r w:rsidR="00C327F1" w:rsidRPr="005206CA">
        <w:t>scheme participants</w:t>
      </w:r>
      <w:r w:rsidRPr="005206CA">
        <w:t xml:space="preserve"> to test legal right and obtain consents early in the project development process to avoid potential issues arising in the future. This should involve consultation with </w:t>
      </w:r>
      <w:r w:rsidR="00166849" w:rsidRPr="005206CA">
        <w:t>n</w:t>
      </w:r>
      <w:r w:rsidR="00436BAB" w:rsidRPr="005206CA">
        <w:t xml:space="preserve">ative </w:t>
      </w:r>
      <w:r w:rsidR="00166849" w:rsidRPr="005206CA">
        <w:t>t</w:t>
      </w:r>
      <w:r w:rsidR="00436BAB" w:rsidRPr="005206CA">
        <w:t xml:space="preserve">itle </w:t>
      </w:r>
      <w:r w:rsidRPr="005206CA">
        <w:t xml:space="preserve">claimants. Engaging early will enhance certainty for the </w:t>
      </w:r>
      <w:r w:rsidR="00C327F1" w:rsidRPr="005206CA">
        <w:t>scheme participant</w:t>
      </w:r>
      <w:r w:rsidRPr="005206CA">
        <w:t xml:space="preserve"> and eligible interest holders while also reducing the risk to the CER that contracted projects may not deliver ACCUs due to legal challenges over legal right or consents. </w:t>
      </w:r>
    </w:p>
    <w:p w14:paraId="09C88C60" w14:textId="00F40FC3" w:rsidR="006D0CD4" w:rsidRPr="005206CA" w:rsidRDefault="00AD0C11">
      <w:pPr>
        <w:pStyle w:val="Heading2"/>
      </w:pPr>
      <w:bookmarkStart w:id="1083" w:name="_Toc497819493"/>
      <w:bookmarkStart w:id="1084" w:name="_Toc498691560"/>
      <w:bookmarkStart w:id="1085" w:name="_Toc499043741"/>
      <w:bookmarkStart w:id="1086" w:name="_Toc499051766"/>
      <w:bookmarkStart w:id="1087" w:name="_Toc500251118"/>
      <w:bookmarkStart w:id="1088" w:name="_Toc500251393"/>
      <w:bookmarkStart w:id="1089" w:name="_Toc500253990"/>
      <w:bookmarkStart w:id="1090" w:name="_Toc500401497"/>
      <w:bookmarkStart w:id="1091" w:name="_Toc500490981"/>
      <w:bookmarkStart w:id="1092" w:name="_Toc500512923"/>
      <w:bookmarkStart w:id="1093" w:name="_Toc500514178"/>
      <w:bookmarkStart w:id="1094" w:name="_Toc500516235"/>
      <w:r w:rsidRPr="005206CA">
        <w:t xml:space="preserve">2017 Amendment </w:t>
      </w:r>
      <w:bookmarkEnd w:id="1083"/>
      <w:bookmarkEnd w:id="1084"/>
      <w:bookmarkEnd w:id="1085"/>
      <w:bookmarkEnd w:id="1086"/>
      <w:bookmarkEnd w:id="1087"/>
      <w:bookmarkEnd w:id="1088"/>
      <w:bookmarkEnd w:id="1089"/>
      <w:bookmarkEnd w:id="1090"/>
      <w:bookmarkEnd w:id="1091"/>
      <w:bookmarkEnd w:id="1092"/>
      <w:bookmarkEnd w:id="1093"/>
      <w:r w:rsidR="0064513C">
        <w:t>B</w:t>
      </w:r>
      <w:r w:rsidRPr="005206CA">
        <w:t>ill</w:t>
      </w:r>
      <w:bookmarkEnd w:id="1094"/>
    </w:p>
    <w:p w14:paraId="6DBDF74B" w14:textId="45DA514A" w:rsidR="006D0CD4" w:rsidRPr="005206CA" w:rsidRDefault="006D0CD4" w:rsidP="006D0CD4">
      <w:r w:rsidRPr="005206CA">
        <w:t>The Government has proposed a range of amendments to the CFI Act</w:t>
      </w:r>
      <w:r w:rsidR="0067188A" w:rsidRPr="005206CA">
        <w:t>,</w:t>
      </w:r>
      <w:r w:rsidRPr="005206CA">
        <w:t xml:space="preserve"> which will have implications for savanna fire management projects in Northern Australia. The key proposals cover:</w:t>
      </w:r>
    </w:p>
    <w:p w14:paraId="2BC4EFD5" w14:textId="77777777" w:rsidR="006D0CD4" w:rsidRPr="005206CA" w:rsidRDefault="006D0CD4" w:rsidP="00D43DB8">
      <w:pPr>
        <w:pStyle w:val="ListBullet"/>
      </w:pPr>
      <w:r w:rsidRPr="005206CA">
        <w:t xml:space="preserve">Removing the requirement to obtain consent from eligible interest holders (including determined native title holders) from emissions avoidance only projects. This would bring the Act in line with the original CFI Act, which required consent only for sequestration projects due to the possibility of a carbon maintenance obligation being imposed to prevent lack of permanence. </w:t>
      </w:r>
    </w:p>
    <w:p w14:paraId="3D319452" w14:textId="77777777" w:rsidR="006D0CD4" w:rsidRPr="005206CA" w:rsidRDefault="006D0CD4" w:rsidP="00D43DB8">
      <w:pPr>
        <w:pStyle w:val="ListBullet"/>
      </w:pPr>
      <w:r w:rsidRPr="005206CA">
        <w:t>Clarification that consent is not required from Commonwealth or state or territory ministers for projects conducted on exclusive possession native title land.</w:t>
      </w:r>
    </w:p>
    <w:p w14:paraId="3213F4BE" w14:textId="01B0C674" w:rsidR="006D0CD4" w:rsidRPr="005206CA" w:rsidRDefault="006D0CD4" w:rsidP="00D43DB8">
      <w:pPr>
        <w:pStyle w:val="ListBullet"/>
      </w:pPr>
      <w:r w:rsidRPr="005206CA">
        <w:t>Some changes to support more effective administration of the savanna sequestration method.</w:t>
      </w:r>
    </w:p>
    <w:p w14:paraId="42A0E687" w14:textId="1802EA9C" w:rsidR="006D0CD4" w:rsidRPr="005206CA" w:rsidRDefault="006D0CD4" w:rsidP="006D0CD4">
      <w:r w:rsidRPr="005206CA">
        <w:t xml:space="preserve">Although the </w:t>
      </w:r>
      <w:r w:rsidRPr="00AC7279">
        <w:t>Carbon Credits (Carbon Farming Initiative) Amendment Bill 2017</w:t>
      </w:r>
      <w:r w:rsidRPr="005206CA">
        <w:t xml:space="preserve"> (</w:t>
      </w:r>
      <w:r w:rsidRPr="005206CA">
        <w:rPr>
          <w:rStyle w:val="In-textChar"/>
        </w:rPr>
        <w:t>Cth</w:t>
      </w:r>
      <w:r w:rsidR="0067188A" w:rsidRPr="005206CA">
        <w:t>)</w:t>
      </w:r>
      <w:r w:rsidRPr="005206CA">
        <w:t xml:space="preserve"> has not been passed by Parliament, it remains part of the Government’s legislative agenda. Some stakeholders (such as Country Carbon in </w:t>
      </w:r>
      <w:r w:rsidR="0067188A" w:rsidRPr="005206CA">
        <w:t xml:space="preserve">its </w:t>
      </w:r>
      <w:r w:rsidRPr="005206CA">
        <w:t xml:space="preserve">submission </w:t>
      </w:r>
      <w:r w:rsidR="004F489B" w:rsidRPr="005206CA">
        <w:t>on</w:t>
      </w:r>
      <w:r w:rsidRPr="005206CA">
        <w:t xml:space="preserve"> this review) have suggested that the requirement for eligible interest holders to provide consents from savanna burning projects is inconsistent with the intention of the legislation, and that the outcome is the result of a drafting error.</w:t>
      </w:r>
    </w:p>
    <w:p w14:paraId="31B8AA27" w14:textId="481F2756" w:rsidR="006D0CD4" w:rsidRPr="005206CA" w:rsidRDefault="006D0CD4" w:rsidP="006D0CD4">
      <w:r w:rsidRPr="005206CA">
        <w:t xml:space="preserve">Some stakeholders </w:t>
      </w:r>
      <w:r w:rsidR="00BC0DEE" w:rsidRPr="005206CA">
        <w:t xml:space="preserve">representing </w:t>
      </w:r>
      <w:r w:rsidR="00166849" w:rsidRPr="005206CA">
        <w:t>I</w:t>
      </w:r>
      <w:r w:rsidR="00BC0DEE" w:rsidRPr="005206CA">
        <w:t xml:space="preserve">ndigenous communities </w:t>
      </w:r>
      <w:r w:rsidRPr="005206CA">
        <w:t xml:space="preserve">support the current requirement for consents for emissions avoidance projects remaining. Others meanwhile </w:t>
      </w:r>
      <w:r w:rsidR="00BC0DEE" w:rsidRPr="005206CA">
        <w:t xml:space="preserve">may be </w:t>
      </w:r>
      <w:r w:rsidRPr="005206CA">
        <w:t>more comfortable with tying consents only to savanna sequestration projects if the rest of the amendments proceed and provided consents are extended to include native title claimants as well as determined native title holders.</w:t>
      </w:r>
    </w:p>
    <w:p w14:paraId="14645D3B" w14:textId="77777777" w:rsidR="006D0CD4" w:rsidRPr="005206CA" w:rsidRDefault="006D0CD4" w:rsidP="006D0CD4">
      <w:r w:rsidRPr="005206CA">
        <w:t xml:space="preserve">The Authority </w:t>
      </w:r>
      <w:r w:rsidR="00B52095" w:rsidRPr="005206CA">
        <w:t>recognises</w:t>
      </w:r>
      <w:r w:rsidRPr="005206CA">
        <w:t xml:space="preserve"> that requiring consents for emissions avoidance projects was probably a drafting error but notes that the issue has become entangled with these broader questions about native title, which may be difficult to resolve in legislation in a way that satisfies all interested parties.</w:t>
      </w:r>
    </w:p>
    <w:p w14:paraId="695969B6" w14:textId="77777777" w:rsidR="006D0CD4" w:rsidRPr="005206CA" w:rsidRDefault="006D0CD4" w:rsidP="006D0CD4">
      <w:r w:rsidRPr="005206CA">
        <w:t>The Authority is concerned that any benefits to Indigenous communities and other stakeholders associated with savanna projects may not be realised while these issues remain unresolved. The Authority is supportive of efforts to find a pragmatic way forward.</w:t>
      </w:r>
    </w:p>
    <w:p w14:paraId="26395DAF" w14:textId="42EF1B3E" w:rsidR="006D0CD4" w:rsidRPr="005206CA" w:rsidRDefault="006D0CD4" w:rsidP="006D0CD4">
      <w:r w:rsidRPr="005206CA">
        <w:t xml:space="preserve">The Authority therefore encourages and supports the CER and the </w:t>
      </w:r>
      <w:r w:rsidR="00036DC9" w:rsidRPr="005206CA">
        <w:t>Department</w:t>
      </w:r>
      <w:r w:rsidR="0067188A" w:rsidRPr="005206CA">
        <w:t xml:space="preserve"> of the Environment and Energy</w:t>
      </w:r>
      <w:r w:rsidRPr="005206CA">
        <w:t xml:space="preserve">’s efforts to develop guidance on legal right and eligible interest holder consents as they apply to Indigenous communities. It could also be used to clarify interactions between the CFI Act and the </w:t>
      </w:r>
      <w:r w:rsidRPr="005206CA">
        <w:rPr>
          <w:i/>
        </w:rPr>
        <w:t>Native Title Act</w:t>
      </w:r>
      <w:r w:rsidR="0067188A" w:rsidRPr="005206CA">
        <w:rPr>
          <w:i/>
        </w:rPr>
        <w:t xml:space="preserve"> 1993</w:t>
      </w:r>
      <w:r w:rsidR="0067188A" w:rsidRPr="005206CA">
        <w:t xml:space="preserve"> (</w:t>
      </w:r>
      <w:r w:rsidR="0067188A" w:rsidRPr="005206CA">
        <w:rPr>
          <w:rStyle w:val="In-textChar"/>
        </w:rPr>
        <w:t>Cth</w:t>
      </w:r>
      <w:r w:rsidR="0067188A" w:rsidRPr="005206CA">
        <w:t>)</w:t>
      </w:r>
      <w:r w:rsidRPr="005206CA">
        <w:t xml:space="preserve">, particularly as it relates to consultation with claimants. The Authority encourages the CER and </w:t>
      </w:r>
      <w:r w:rsidR="00036DC9" w:rsidRPr="005206CA">
        <w:t>the Department</w:t>
      </w:r>
      <w:r w:rsidRPr="005206CA">
        <w:t xml:space="preserve"> to use the guidance to improve consultation with Indigenous communities for the purposes of obtaining eligible interest holder consents and clarifying legal right. Such guidance c</w:t>
      </w:r>
      <w:r w:rsidR="005B62E5">
        <w:t>ould</w:t>
      </w:r>
      <w:r w:rsidRPr="005206CA">
        <w:t xml:space="preserve"> reduce the risks to </w:t>
      </w:r>
      <w:r w:rsidR="00C327F1" w:rsidRPr="005206CA">
        <w:t>scheme participants</w:t>
      </w:r>
      <w:r w:rsidRPr="005206CA">
        <w:t xml:space="preserve"> and the CER of future legal challenges that could impede projects starting or continuing.</w:t>
      </w:r>
    </w:p>
    <w:p w14:paraId="01CBD201" w14:textId="77777777" w:rsidR="00345BEC" w:rsidRPr="005206CA" w:rsidRDefault="00345BEC">
      <w:pPr>
        <w:pStyle w:val="Heading2"/>
      </w:pPr>
      <w:bookmarkStart w:id="1095" w:name="_Toc498691561"/>
      <w:bookmarkStart w:id="1096" w:name="_Toc499043742"/>
      <w:bookmarkStart w:id="1097" w:name="_Toc499051767"/>
      <w:bookmarkStart w:id="1098" w:name="_Ref500247696"/>
      <w:bookmarkStart w:id="1099" w:name="_Toc500251119"/>
      <w:bookmarkStart w:id="1100" w:name="_Toc500251394"/>
      <w:bookmarkStart w:id="1101" w:name="_Toc500253991"/>
      <w:bookmarkStart w:id="1102" w:name="_Toc500401498"/>
      <w:bookmarkStart w:id="1103" w:name="_Toc500490982"/>
      <w:bookmarkStart w:id="1104" w:name="_Toc500512924"/>
      <w:bookmarkStart w:id="1105" w:name="_Toc500514179"/>
      <w:bookmarkStart w:id="1106" w:name="_Toc500516236"/>
      <w:r w:rsidRPr="005206CA">
        <w:t>Conditional registration</w:t>
      </w:r>
      <w:bookmarkEnd w:id="1095"/>
      <w:bookmarkEnd w:id="1096"/>
      <w:bookmarkEnd w:id="1097"/>
      <w:bookmarkEnd w:id="1098"/>
      <w:bookmarkEnd w:id="1099"/>
      <w:bookmarkEnd w:id="1100"/>
      <w:bookmarkEnd w:id="1101"/>
      <w:bookmarkEnd w:id="1102"/>
      <w:bookmarkEnd w:id="1103"/>
      <w:bookmarkEnd w:id="1104"/>
      <w:bookmarkEnd w:id="1105"/>
      <w:bookmarkEnd w:id="1106"/>
    </w:p>
    <w:p w14:paraId="03441229" w14:textId="69F4F8AE" w:rsidR="00345BEC" w:rsidRPr="005206CA" w:rsidRDefault="00345BEC" w:rsidP="00345BEC">
      <w:r w:rsidRPr="005206CA">
        <w:t>Currently, projects may be registered subject to certain conditions being met post</w:t>
      </w:r>
      <w:r w:rsidR="00C9658B" w:rsidRPr="005206CA">
        <w:noBreakHyphen/>
      </w:r>
      <w:r w:rsidRPr="005206CA">
        <w:t xml:space="preserve">registration such as eligible interest holder consents or other regulatory approvals. Projects that are conditionally registered can also bid at auction and win a contract. </w:t>
      </w:r>
    </w:p>
    <w:p w14:paraId="7C49E47B" w14:textId="39D9C17E" w:rsidR="00345BEC" w:rsidRPr="005206CA" w:rsidRDefault="00345BEC" w:rsidP="00E55312">
      <w:r w:rsidRPr="005206CA">
        <w:t xml:space="preserve">Winning a Government contract can assist </w:t>
      </w:r>
      <w:r w:rsidR="007E5547" w:rsidRPr="005206CA">
        <w:t>scheme participants</w:t>
      </w:r>
      <w:r w:rsidRPr="005206CA">
        <w:t xml:space="preserve"> to access finance and is one of the reasons why stakeholders have told the Authority they support allowing conditionally registered projects to bid at auction. However, the </w:t>
      </w:r>
      <w:r w:rsidR="0067188A" w:rsidRPr="005206CA">
        <w:t>KLC</w:t>
      </w:r>
      <w:r w:rsidRPr="005206CA">
        <w:t xml:space="preserve"> in their </w:t>
      </w:r>
      <w:r w:rsidR="007E5547" w:rsidRPr="005206CA">
        <w:t>submission on</w:t>
      </w:r>
      <w:r w:rsidRPr="005206CA">
        <w:t xml:space="preserve"> this </w:t>
      </w:r>
      <w:r w:rsidR="00B75EE9" w:rsidRPr="005206CA">
        <w:t>r</w:t>
      </w:r>
      <w:r w:rsidRPr="005206CA">
        <w:t>eview said that</w:t>
      </w:r>
      <w:r w:rsidR="004F489B" w:rsidRPr="005206CA">
        <w:rPr>
          <w:i/>
        </w:rPr>
        <w:t xml:space="preserve"> </w:t>
      </w:r>
      <w:r w:rsidR="004F489B" w:rsidRPr="005206CA">
        <w:t>‘</w:t>
      </w:r>
      <w:r w:rsidRPr="005206CA">
        <w:t>The practice of seeking approvals to an activity post-registration and contracting is not common in any industry nor best business practice</w:t>
      </w:r>
      <w:r w:rsidR="004F489B" w:rsidRPr="005206CA">
        <w:t>’ (p. 4).</w:t>
      </w:r>
      <w:r w:rsidRPr="005206CA">
        <w:t xml:space="preserve"> </w:t>
      </w:r>
    </w:p>
    <w:p w14:paraId="39CF413D" w14:textId="75F51F46" w:rsidR="00345BEC" w:rsidRPr="005206CA" w:rsidRDefault="00345BEC" w:rsidP="00345BEC">
      <w:r w:rsidRPr="005206CA">
        <w:t xml:space="preserve">Allowing conditionally registered projects to bid at auction also leads to delivery risks if consents are not obtained as ACCUs cannot be credited until all conditions are removed. Of the total volume of abatement contracted for the ERF, around one third is subject to conditional declaration. Delivery risk is discussed in more detail in </w:t>
      </w:r>
      <w:r w:rsidR="00E82831" w:rsidRPr="005206CA">
        <w:rPr>
          <w:rStyle w:val="SectionChapterChar"/>
        </w:rPr>
        <w:fldChar w:fldCharType="begin"/>
      </w:r>
      <w:r w:rsidR="00E82831" w:rsidRPr="0033387E">
        <w:rPr>
          <w:rStyle w:val="SectionChapterChar"/>
        </w:rPr>
        <w:instrText xml:space="preserve"> REF _Ref497378764 \w \h </w:instrText>
      </w:r>
      <w:r w:rsidR="00E82831" w:rsidRP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Chapter 10</w:t>
      </w:r>
      <w:r w:rsidR="00E82831" w:rsidRPr="005206CA">
        <w:rPr>
          <w:rStyle w:val="SectionChapterChar"/>
        </w:rPr>
        <w:fldChar w:fldCharType="end"/>
      </w:r>
      <w:r w:rsidRPr="00AC7279">
        <w:rPr>
          <w:rStyle w:val="SectionChapterChar"/>
        </w:rPr>
        <w:t>.</w:t>
      </w:r>
    </w:p>
    <w:p w14:paraId="5F06930E" w14:textId="77777777" w:rsidR="00345BEC" w:rsidRPr="005206CA" w:rsidRDefault="00345BEC" w:rsidP="00345BEC">
      <w:r w:rsidRPr="005206CA">
        <w:t xml:space="preserve">To help manage the risk of delivery failure, the Authority recommends that projects not be allowed to participate in ERF auctions until all </w:t>
      </w:r>
      <w:r w:rsidR="00BB3628" w:rsidRPr="005206CA">
        <w:t xml:space="preserve">known </w:t>
      </w:r>
      <w:r w:rsidRPr="005206CA">
        <w:t>eligible interest holder consents have been obtained.</w:t>
      </w:r>
    </w:p>
    <w:tbl>
      <w:tblPr>
        <w:tblStyle w:val="TableGrid"/>
        <w:tblW w:w="0" w:type="auto"/>
        <w:shd w:val="clear" w:color="auto" w:fill="E6ECF2"/>
        <w:tblLook w:val="04A0" w:firstRow="1" w:lastRow="0" w:firstColumn="1" w:lastColumn="0" w:noHBand="0" w:noVBand="1"/>
      </w:tblPr>
      <w:tblGrid>
        <w:gridCol w:w="9202"/>
      </w:tblGrid>
      <w:tr w:rsidR="00345BEC" w:rsidRPr="005206CA" w14:paraId="3DCD0D1B" w14:textId="77777777" w:rsidTr="00E03377">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1A446E62" w14:textId="77777777" w:rsidR="00345BEC" w:rsidRPr="005206CA" w:rsidRDefault="00345BEC" w:rsidP="00E03377">
            <w:pPr>
              <w:rPr>
                <w:rFonts w:cs="Arial"/>
                <w:b/>
                <w:color w:val="159DCE"/>
                <w:sz w:val="18"/>
                <w:szCs w:val="18"/>
              </w:rPr>
            </w:pPr>
            <w:r w:rsidRPr="005206CA">
              <w:rPr>
                <w:rFonts w:cs="Arial"/>
                <w:b/>
                <w:color w:val="159DCE"/>
                <w:sz w:val="18"/>
                <w:szCs w:val="18"/>
              </w:rPr>
              <w:t>RECOMMENDATION</w:t>
            </w:r>
          </w:p>
          <w:p w14:paraId="4E4B6777" w14:textId="6253E7D3" w:rsidR="00345BEC" w:rsidRPr="005206CA" w:rsidRDefault="00345BEC" w:rsidP="0033387E">
            <w:pPr>
              <w:pStyle w:val="Caption"/>
              <w:spacing w:after="140" w:line="320" w:lineRule="exact"/>
              <w:ind w:left="851" w:hanging="851"/>
              <w:rPr>
                <w:rFonts w:cs="Arial"/>
                <w:sz w:val="18"/>
              </w:rPr>
            </w:pPr>
            <w:bookmarkStart w:id="1107" w:name="_Ref500236573"/>
            <w:bookmarkStart w:id="1108" w:name="R17"/>
            <w:bookmarkStart w:id="1109" w:name="_Toc498534528"/>
            <w:bookmarkStart w:id="1110" w:name="_Toc498614723"/>
            <w:bookmarkStart w:id="1111" w:name="_Toc498691478"/>
            <w:bookmarkStart w:id="1112" w:name="_Toc499051677"/>
            <w:bookmarkStart w:id="1113" w:name="_Toc499202062"/>
            <w:bookmarkStart w:id="1114" w:name="_Toc499892346"/>
            <w:bookmarkStart w:id="1115" w:name="_Toc499898707"/>
            <w:bookmarkStart w:id="1116" w:name="_Toc499899347"/>
            <w:r w:rsidRPr="005206CA">
              <w:rPr>
                <w:rFonts w:cs="Arial"/>
                <w:sz w:val="18"/>
              </w:rPr>
              <w:t xml:space="preserve">R. </w:t>
            </w:r>
            <w:r w:rsidRPr="00AC7279">
              <w:rPr>
                <w:sz w:val="18"/>
              </w:rPr>
              <w:fldChar w:fldCharType="begin"/>
            </w:r>
            <w:r w:rsidRPr="005206CA">
              <w:rPr>
                <w:rFonts w:cs="Arial"/>
                <w:sz w:val="18"/>
              </w:rPr>
              <w:instrText xml:space="preserve"> SEQ R. \* ARABIC </w:instrText>
            </w:r>
            <w:r w:rsidRPr="00AC7279">
              <w:rPr>
                <w:sz w:val="18"/>
              </w:rPr>
              <w:fldChar w:fldCharType="separate"/>
            </w:r>
            <w:r w:rsidR="00FA2002">
              <w:rPr>
                <w:rFonts w:cs="Arial"/>
                <w:noProof/>
                <w:sz w:val="18"/>
              </w:rPr>
              <w:t>17</w:t>
            </w:r>
            <w:r w:rsidRPr="00AC7279">
              <w:rPr>
                <w:sz w:val="18"/>
              </w:rPr>
              <w:fldChar w:fldCharType="end"/>
            </w:r>
            <w:bookmarkEnd w:id="1107"/>
            <w:bookmarkEnd w:id="1108"/>
            <w:r w:rsidR="005D41E0">
              <w:rPr>
                <w:sz w:val="18"/>
              </w:rPr>
              <w:t>.</w:t>
            </w:r>
            <w:r w:rsidRPr="005206CA">
              <w:rPr>
                <w:rFonts w:cs="Arial"/>
                <w:sz w:val="18"/>
              </w:rPr>
              <w:t xml:space="preserve"> </w:t>
            </w:r>
            <w:r w:rsidRPr="005206CA">
              <w:rPr>
                <w:rFonts w:cs="Arial"/>
                <w:sz w:val="18"/>
              </w:rPr>
              <w:tab/>
            </w:r>
            <w:bookmarkStart w:id="1117" w:name="_Ref500236862"/>
            <w:r w:rsidRPr="005206CA">
              <w:rPr>
                <w:sz w:val="18"/>
              </w:rPr>
              <w:t>The C</w:t>
            </w:r>
            <w:r w:rsidR="00951588" w:rsidRPr="005206CA">
              <w:rPr>
                <w:sz w:val="18"/>
              </w:rPr>
              <w:t xml:space="preserve">lean </w:t>
            </w:r>
            <w:r w:rsidRPr="005206CA">
              <w:rPr>
                <w:sz w:val="18"/>
              </w:rPr>
              <w:t>E</w:t>
            </w:r>
            <w:r w:rsidR="00951588" w:rsidRPr="005206CA">
              <w:rPr>
                <w:sz w:val="18"/>
              </w:rPr>
              <w:t xml:space="preserve">nergy </w:t>
            </w:r>
            <w:r w:rsidRPr="005206CA">
              <w:rPr>
                <w:sz w:val="18"/>
              </w:rPr>
              <w:t>R</w:t>
            </w:r>
            <w:r w:rsidR="00951588" w:rsidRPr="005206CA">
              <w:rPr>
                <w:sz w:val="18"/>
              </w:rPr>
              <w:t>egulator</w:t>
            </w:r>
            <w:r w:rsidRPr="005206CA">
              <w:rPr>
                <w:sz w:val="18"/>
              </w:rPr>
              <w:t xml:space="preserve"> finalise its guidance to clarify expectations on consultation with Indigenous communities; scheme participants to </w:t>
            </w:r>
            <w:r w:rsidR="007C3F87" w:rsidRPr="005206CA">
              <w:rPr>
                <w:sz w:val="18"/>
              </w:rPr>
              <w:t xml:space="preserve">notify and engage with </w:t>
            </w:r>
            <w:r w:rsidRPr="005206CA">
              <w:rPr>
                <w:sz w:val="18"/>
              </w:rPr>
              <w:t>Registered Native Title Body Corporates o</w:t>
            </w:r>
            <w:r w:rsidR="008C5573">
              <w:rPr>
                <w:sz w:val="18"/>
              </w:rPr>
              <w:t>n</w:t>
            </w:r>
            <w:r w:rsidRPr="005206CA">
              <w:rPr>
                <w:sz w:val="18"/>
              </w:rPr>
              <w:t xml:space="preserve"> project applications on determined Native Title land and other eligible interest holders before projects are registered and provide the C</w:t>
            </w:r>
            <w:r w:rsidR="00951588" w:rsidRPr="005206CA">
              <w:rPr>
                <w:sz w:val="18"/>
              </w:rPr>
              <w:t xml:space="preserve">lean </w:t>
            </w:r>
            <w:r w:rsidRPr="005206CA">
              <w:rPr>
                <w:sz w:val="18"/>
              </w:rPr>
              <w:t>E</w:t>
            </w:r>
            <w:r w:rsidR="00951588" w:rsidRPr="005206CA">
              <w:rPr>
                <w:sz w:val="18"/>
              </w:rPr>
              <w:t xml:space="preserve">nergy </w:t>
            </w:r>
            <w:r w:rsidRPr="005206CA">
              <w:rPr>
                <w:sz w:val="18"/>
              </w:rPr>
              <w:t>R</w:t>
            </w:r>
            <w:r w:rsidR="00951588" w:rsidRPr="005206CA">
              <w:rPr>
                <w:sz w:val="18"/>
              </w:rPr>
              <w:t>egulator</w:t>
            </w:r>
            <w:r w:rsidRPr="005206CA">
              <w:rPr>
                <w:sz w:val="18"/>
              </w:rPr>
              <w:t xml:space="preserve"> with evidence this consultation occurred; and the C</w:t>
            </w:r>
            <w:r w:rsidR="00951588" w:rsidRPr="005206CA">
              <w:rPr>
                <w:sz w:val="18"/>
              </w:rPr>
              <w:t xml:space="preserve">lean </w:t>
            </w:r>
            <w:r w:rsidRPr="005206CA">
              <w:rPr>
                <w:sz w:val="18"/>
              </w:rPr>
              <w:t>E</w:t>
            </w:r>
            <w:r w:rsidR="00951588" w:rsidRPr="005206CA">
              <w:rPr>
                <w:sz w:val="18"/>
              </w:rPr>
              <w:t xml:space="preserve">nergy </w:t>
            </w:r>
            <w:r w:rsidRPr="005206CA">
              <w:rPr>
                <w:sz w:val="18"/>
              </w:rPr>
              <w:t>R</w:t>
            </w:r>
            <w:r w:rsidR="00951588" w:rsidRPr="005206CA">
              <w:rPr>
                <w:sz w:val="18"/>
              </w:rPr>
              <w:t>egulator</w:t>
            </w:r>
            <w:r w:rsidRPr="005206CA">
              <w:rPr>
                <w:sz w:val="18"/>
              </w:rPr>
              <w:t xml:space="preserve"> not allow scheme participants </w:t>
            </w:r>
            <w:r w:rsidRPr="005206CA">
              <w:rPr>
                <w:rFonts w:eastAsia="Times New Roman"/>
                <w:sz w:val="18"/>
              </w:rPr>
              <w:t xml:space="preserve">to bid at auction until all </w:t>
            </w:r>
            <w:r w:rsidR="00BB3628" w:rsidRPr="005206CA">
              <w:rPr>
                <w:rFonts w:eastAsia="Times New Roman"/>
                <w:sz w:val="18"/>
              </w:rPr>
              <w:t xml:space="preserve">known </w:t>
            </w:r>
            <w:r w:rsidRPr="005206CA">
              <w:rPr>
                <w:rFonts w:eastAsia="Times New Roman"/>
                <w:sz w:val="18"/>
              </w:rPr>
              <w:t>eligible interest holder consents have been obtained.</w:t>
            </w:r>
            <w:bookmarkEnd w:id="1109"/>
            <w:bookmarkEnd w:id="1110"/>
            <w:bookmarkEnd w:id="1111"/>
            <w:bookmarkEnd w:id="1112"/>
            <w:bookmarkEnd w:id="1113"/>
            <w:bookmarkEnd w:id="1114"/>
            <w:bookmarkEnd w:id="1115"/>
            <w:bookmarkEnd w:id="1116"/>
            <w:bookmarkEnd w:id="1117"/>
          </w:p>
        </w:tc>
      </w:tr>
    </w:tbl>
    <w:p w14:paraId="7E7CAC95" w14:textId="77777777" w:rsidR="00D10631" w:rsidRPr="005206CA" w:rsidRDefault="00D10631" w:rsidP="006D0CD4"/>
    <w:p w14:paraId="61D09ADF" w14:textId="2474911E" w:rsidR="006D0CD4" w:rsidRPr="005206CA" w:rsidRDefault="001D6C10">
      <w:pPr>
        <w:pStyle w:val="Heading2"/>
      </w:pPr>
      <w:bookmarkStart w:id="1118" w:name="_Toc498690834"/>
      <w:bookmarkStart w:id="1119" w:name="_Toc498692194"/>
      <w:bookmarkStart w:id="1120" w:name="_Toc497819494"/>
      <w:bookmarkStart w:id="1121" w:name="_Toc498691562"/>
      <w:bookmarkStart w:id="1122" w:name="_Toc499043743"/>
      <w:bookmarkStart w:id="1123" w:name="_Toc499051768"/>
      <w:bookmarkStart w:id="1124" w:name="_Toc500251120"/>
      <w:bookmarkStart w:id="1125" w:name="_Toc500251395"/>
      <w:bookmarkStart w:id="1126" w:name="_Toc500253992"/>
      <w:bookmarkStart w:id="1127" w:name="_Toc500401499"/>
      <w:bookmarkStart w:id="1128" w:name="_Toc500490983"/>
      <w:bookmarkStart w:id="1129" w:name="_Toc500512925"/>
      <w:bookmarkStart w:id="1130" w:name="_Toc500514180"/>
      <w:bookmarkStart w:id="1131" w:name="_Toc500516237"/>
      <w:bookmarkEnd w:id="1118"/>
      <w:bookmarkEnd w:id="1119"/>
      <w:r w:rsidRPr="005206CA">
        <w:t>Non-legal barriers to Indigenous participation in the E</w:t>
      </w:r>
      <w:r w:rsidR="00A31027" w:rsidRPr="005206CA">
        <w:t xml:space="preserve">missions </w:t>
      </w:r>
      <w:r w:rsidRPr="005206CA">
        <w:t>R</w:t>
      </w:r>
      <w:r w:rsidR="00A31027" w:rsidRPr="005206CA">
        <w:t xml:space="preserve">eduction </w:t>
      </w:r>
      <w:r w:rsidRPr="005206CA">
        <w:t>F</w:t>
      </w:r>
      <w:bookmarkEnd w:id="1120"/>
      <w:bookmarkEnd w:id="1121"/>
      <w:bookmarkEnd w:id="1122"/>
      <w:bookmarkEnd w:id="1123"/>
      <w:r w:rsidR="00A31027" w:rsidRPr="005206CA">
        <w:t>und</w:t>
      </w:r>
      <w:bookmarkEnd w:id="1124"/>
      <w:bookmarkEnd w:id="1125"/>
      <w:bookmarkEnd w:id="1126"/>
      <w:bookmarkEnd w:id="1127"/>
      <w:bookmarkEnd w:id="1128"/>
      <w:bookmarkEnd w:id="1129"/>
      <w:bookmarkEnd w:id="1130"/>
      <w:bookmarkEnd w:id="1131"/>
    </w:p>
    <w:p w14:paraId="1AD24A8F" w14:textId="7310AC63" w:rsidR="006D0CD4" w:rsidRPr="005206CA" w:rsidRDefault="006D0CD4" w:rsidP="006D0CD4">
      <w:r w:rsidRPr="005206CA">
        <w:t>In addition to payment for ACCUs, Indigenous participation in the ERF is currently encouraged through Working on Country and Indigenous Protected Areas programs. These programs train and employ Indigenous rangers across Australia to protect and manage their land and sea country (</w:t>
      </w:r>
      <w:r w:rsidRPr="005206CA">
        <w:rPr>
          <w:rStyle w:val="In-textChar"/>
        </w:rPr>
        <w:t>DPMC 2017</w:t>
      </w:r>
      <w:r w:rsidRPr="005206CA">
        <w:t xml:space="preserve">). </w:t>
      </w:r>
    </w:p>
    <w:p w14:paraId="5684E599" w14:textId="5FBE2AB1" w:rsidR="004F489B" w:rsidRPr="005206CA" w:rsidRDefault="006D0CD4" w:rsidP="006D0CD4">
      <w:r w:rsidRPr="005206CA">
        <w:t xml:space="preserve">Stakeholders emphasised the importance of this additional support in their submissions </w:t>
      </w:r>
      <w:r w:rsidR="004F489B" w:rsidRPr="005206CA">
        <w:t>on</w:t>
      </w:r>
      <w:r w:rsidRPr="005206CA">
        <w:t xml:space="preserve"> this</w:t>
      </w:r>
      <w:r w:rsidR="00C327F1" w:rsidRPr="005206CA">
        <w:t xml:space="preserve"> review. For example, KLC said</w:t>
      </w:r>
      <w:r w:rsidR="004F489B" w:rsidRPr="005206CA">
        <w:t>:</w:t>
      </w:r>
    </w:p>
    <w:p w14:paraId="108318DC" w14:textId="3C607DAB" w:rsidR="006D0CD4" w:rsidRPr="005206CA" w:rsidRDefault="006D0CD4" w:rsidP="00AC7279">
      <w:pPr>
        <w:ind w:left="284"/>
        <w:rPr>
          <w:i/>
        </w:rPr>
      </w:pPr>
      <w:r w:rsidRPr="005206CA">
        <w:rPr>
          <w:i/>
        </w:rPr>
        <w:t>Without assistance from government grants, philanthropic investment and the interest of the secondary market it is unlikely that any Kimberley savanna abatement projects would have been established to date, or would be in the near future, resulting in not only a reduction in emissions avoidance but social, cultu</w:t>
      </w:r>
      <w:r w:rsidR="00C327F1" w:rsidRPr="005206CA">
        <w:rPr>
          <w:i/>
        </w:rPr>
        <w:t>ral and environmental outcomes</w:t>
      </w:r>
      <w:r w:rsidR="004F489B" w:rsidRPr="005206CA">
        <w:rPr>
          <w:i/>
        </w:rPr>
        <w:t xml:space="preserve"> </w:t>
      </w:r>
      <w:r w:rsidR="004F489B" w:rsidRPr="005206CA">
        <w:t>(p. 2)</w:t>
      </w:r>
      <w:r w:rsidR="004F489B" w:rsidRPr="005206CA">
        <w:rPr>
          <w:i/>
        </w:rPr>
        <w:t>.</w:t>
      </w:r>
    </w:p>
    <w:p w14:paraId="105D5949" w14:textId="5CC1D1F3" w:rsidR="006D0CD4" w:rsidRPr="005206CA" w:rsidRDefault="006D0CD4" w:rsidP="006D0CD4">
      <w:r w:rsidRPr="005206CA">
        <w:t xml:space="preserve">ALFA’s </w:t>
      </w:r>
      <w:r w:rsidR="007E5547" w:rsidRPr="005206CA">
        <w:t>submission on</w:t>
      </w:r>
      <w:r w:rsidRPr="005206CA">
        <w:t xml:space="preserve"> this review called for additional support for Indigenous capacity building to undertake ERF projects. They suggested that</w:t>
      </w:r>
      <w:r w:rsidR="004F489B" w:rsidRPr="005206CA">
        <w:t>:</w:t>
      </w:r>
    </w:p>
    <w:p w14:paraId="6837032F" w14:textId="76B8767E" w:rsidR="006D0CD4" w:rsidRPr="005206CA" w:rsidRDefault="00486A9D" w:rsidP="00AC7279">
      <w:pPr>
        <w:ind w:left="284"/>
        <w:rPr>
          <w:i/>
        </w:rPr>
      </w:pPr>
      <w:r w:rsidRPr="005206CA">
        <w:rPr>
          <w:i/>
        </w:rPr>
        <w:t>…</w:t>
      </w:r>
      <w:r w:rsidR="006D0CD4" w:rsidRPr="005206CA">
        <w:rPr>
          <w:i/>
        </w:rPr>
        <w:t>it takes time and resources for Indigenous carbon projects to be established and for Indigenous groups to develop their capacity to engage with the industry. Whilst available, the Indigenous Carbon Farming Fund (ICFF) filled this role by providing invaluable support for Indigenous projects to build their project and b</w:t>
      </w:r>
      <w:r w:rsidRPr="005206CA">
        <w:rPr>
          <w:i/>
        </w:rPr>
        <w:t>usiness capacity</w:t>
      </w:r>
      <w:r w:rsidR="004F489B" w:rsidRPr="005206CA">
        <w:rPr>
          <w:i/>
        </w:rPr>
        <w:t xml:space="preserve"> </w:t>
      </w:r>
      <w:r w:rsidR="004F489B" w:rsidRPr="005206CA">
        <w:t>(p. 4)</w:t>
      </w:r>
      <w:r w:rsidRPr="005206CA">
        <w:t>.</w:t>
      </w:r>
    </w:p>
    <w:p w14:paraId="21820EB9" w14:textId="2487BF39" w:rsidR="006D0CD4" w:rsidRPr="005206CA" w:rsidRDefault="006D0CD4" w:rsidP="006D0CD4">
      <w:r w:rsidRPr="005206CA">
        <w:t xml:space="preserve">The Aboriginal Carbon Fund in its </w:t>
      </w:r>
      <w:r w:rsidR="007E5547" w:rsidRPr="005206CA">
        <w:t>submission on</w:t>
      </w:r>
      <w:r w:rsidRPr="005206CA">
        <w:t xml:space="preserve"> the 2017 review also points to Australian Government support for the former Indigenous Carbon Farming Fund and related programs as a key success factor in the industry to date. </w:t>
      </w:r>
    </w:p>
    <w:p w14:paraId="157B9139" w14:textId="77F6BD63" w:rsidR="006D0CD4" w:rsidRPr="005206CA" w:rsidRDefault="006D0CD4" w:rsidP="006D0CD4">
      <w:r w:rsidRPr="005206CA">
        <w:t xml:space="preserve">The Authority recognises the strong interest among stakeholders in establishing incentives for projects such as savanna burning activities that produce environmental or social benefits beyond emissions reductions or carbon storage. These issues are discussed further in </w:t>
      </w:r>
      <w:r w:rsidR="00E82831" w:rsidRPr="005206CA">
        <w:rPr>
          <w:rStyle w:val="SectionChapterChar"/>
        </w:rPr>
        <w:fldChar w:fldCharType="begin"/>
      </w:r>
      <w:r w:rsidR="00E82831" w:rsidRPr="0033387E">
        <w:rPr>
          <w:rStyle w:val="SectionChapterChar"/>
        </w:rPr>
        <w:instrText xml:space="preserve"> REF _Ref497378764 \w \h </w:instrText>
      </w:r>
      <w:r w:rsidR="00E82831" w:rsidRP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Chapter 10</w:t>
      </w:r>
      <w:r w:rsidR="00E82831" w:rsidRPr="005206CA">
        <w:rPr>
          <w:rStyle w:val="SectionChapterChar"/>
        </w:rPr>
        <w:fldChar w:fldCharType="end"/>
      </w:r>
      <w:r w:rsidRPr="00AC7279">
        <w:rPr>
          <w:rStyle w:val="SectionChapterChar"/>
        </w:rPr>
        <w:t>.</w:t>
      </w:r>
      <w:r w:rsidRPr="005206CA">
        <w:t xml:space="preserve"> Additionally, the Authority will release further research in 2018 on ways to deliver co-benefits and emission</w:t>
      </w:r>
      <w:r w:rsidR="00C11A32" w:rsidRPr="005206CA">
        <w:t>s</w:t>
      </w:r>
      <w:r w:rsidRPr="005206CA">
        <w:t xml:space="preserve"> reductions on the land.</w:t>
      </w:r>
    </w:p>
    <w:p w14:paraId="407EEC28" w14:textId="77777777" w:rsidR="006D0CD4" w:rsidRPr="005206CA" w:rsidRDefault="00903462" w:rsidP="00B13536">
      <w:pPr>
        <w:pStyle w:val="Heading1"/>
        <w:numPr>
          <w:ilvl w:val="0"/>
          <w:numId w:val="44"/>
        </w:numPr>
      </w:pPr>
      <w:bookmarkStart w:id="1132" w:name="_Toc497819495"/>
      <w:bookmarkStart w:id="1133" w:name="_Toc498691563"/>
      <w:bookmarkStart w:id="1134" w:name="_Toc499043744"/>
      <w:bookmarkStart w:id="1135" w:name="_Toc499051769"/>
      <w:bookmarkStart w:id="1136" w:name="_Ref500246222"/>
      <w:bookmarkStart w:id="1137" w:name="_Toc500251121"/>
      <w:bookmarkStart w:id="1138" w:name="_Toc500251396"/>
      <w:bookmarkStart w:id="1139" w:name="_Toc500253993"/>
      <w:bookmarkStart w:id="1140" w:name="_Toc500401500"/>
      <w:bookmarkStart w:id="1141" w:name="_Toc500490984"/>
      <w:bookmarkStart w:id="1142" w:name="_Toc500512926"/>
      <w:bookmarkStart w:id="1143" w:name="_Toc500514181"/>
      <w:bookmarkStart w:id="1144" w:name="_Toc500516238"/>
      <w:r w:rsidRPr="005206CA">
        <w:t>Project administration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60369A10" w14:textId="77777777" w:rsidR="006D0CD4" w:rsidRPr="005206CA" w:rsidRDefault="00903462">
      <w:pPr>
        <w:pStyle w:val="Heading2"/>
      </w:pPr>
      <w:bookmarkStart w:id="1145" w:name="_Toc497819496"/>
      <w:bookmarkStart w:id="1146" w:name="_Toc498691564"/>
      <w:bookmarkStart w:id="1147" w:name="_Toc499043745"/>
      <w:bookmarkStart w:id="1148" w:name="_Toc499051770"/>
      <w:bookmarkStart w:id="1149" w:name="_Toc500251122"/>
      <w:bookmarkStart w:id="1150" w:name="_Toc500251397"/>
      <w:bookmarkStart w:id="1151" w:name="_Toc500253994"/>
      <w:bookmarkStart w:id="1152" w:name="_Toc500401501"/>
      <w:bookmarkStart w:id="1153" w:name="_Toc500490985"/>
      <w:bookmarkStart w:id="1154" w:name="_Toc500512927"/>
      <w:bookmarkStart w:id="1155" w:name="_Toc500514182"/>
      <w:bookmarkStart w:id="1156" w:name="_Toc500516239"/>
      <w:r w:rsidRPr="005206CA">
        <w:t>Project registration</w:t>
      </w:r>
      <w:bookmarkEnd w:id="1145"/>
      <w:bookmarkEnd w:id="1146"/>
      <w:bookmarkEnd w:id="1147"/>
      <w:bookmarkEnd w:id="1148"/>
      <w:bookmarkEnd w:id="1149"/>
      <w:bookmarkEnd w:id="1150"/>
      <w:bookmarkEnd w:id="1151"/>
      <w:bookmarkEnd w:id="1152"/>
      <w:bookmarkEnd w:id="1153"/>
      <w:bookmarkEnd w:id="1154"/>
      <w:bookmarkEnd w:id="1155"/>
      <w:bookmarkEnd w:id="1156"/>
    </w:p>
    <w:p w14:paraId="29C1485B" w14:textId="729C2D59" w:rsidR="006D0CD4" w:rsidRPr="005206CA" w:rsidRDefault="006D0CD4" w:rsidP="006D0CD4">
      <w:r w:rsidRPr="005206CA">
        <w:t>To be eligible to receive A</w:t>
      </w:r>
      <w:r w:rsidR="00A07DF1" w:rsidRPr="005206CA">
        <w:t xml:space="preserve">ustralian </w:t>
      </w:r>
      <w:r w:rsidRPr="005206CA">
        <w:t>C</w:t>
      </w:r>
      <w:r w:rsidR="00A07DF1" w:rsidRPr="005206CA">
        <w:t xml:space="preserve">arbon </w:t>
      </w:r>
      <w:r w:rsidRPr="005206CA">
        <w:t>C</w:t>
      </w:r>
      <w:r w:rsidR="00A07DF1" w:rsidRPr="005206CA">
        <w:t xml:space="preserve">redit </w:t>
      </w:r>
      <w:r w:rsidRPr="005206CA">
        <w:t>U</w:t>
      </w:r>
      <w:r w:rsidR="00A07DF1" w:rsidRPr="005206CA">
        <w:t>nit</w:t>
      </w:r>
      <w:r w:rsidRPr="005206CA">
        <w:t>s</w:t>
      </w:r>
      <w:r w:rsidR="00A07DF1" w:rsidRPr="005206CA">
        <w:t xml:space="preserve"> (ACCUs)</w:t>
      </w:r>
      <w:r w:rsidRPr="005206CA">
        <w:t xml:space="preserve"> and bid into </w:t>
      </w:r>
      <w:r w:rsidR="00A07DF1" w:rsidRPr="005206CA">
        <w:t>Emissions Reduction Fund (</w:t>
      </w:r>
      <w:r w:rsidRPr="005206CA">
        <w:t>ERF</w:t>
      </w:r>
      <w:r w:rsidR="00A07DF1" w:rsidRPr="005206CA">
        <w:t>)</w:t>
      </w:r>
      <w:r w:rsidRPr="005206CA">
        <w:t xml:space="preserve"> auctions, </w:t>
      </w:r>
      <w:r w:rsidR="002B7B1D">
        <w:t xml:space="preserve">scheme </w:t>
      </w:r>
      <w:r w:rsidRPr="005206CA">
        <w:t>participants must register their project with the C</w:t>
      </w:r>
      <w:r w:rsidR="00A07DF1" w:rsidRPr="005206CA">
        <w:t>lean Energy Regulator (C</w:t>
      </w:r>
      <w:r w:rsidRPr="005206CA">
        <w:t>ER</w:t>
      </w:r>
      <w:r w:rsidR="00A07DF1" w:rsidRPr="005206CA">
        <w:t>)</w:t>
      </w:r>
      <w:r w:rsidRPr="005206CA">
        <w:t xml:space="preserve">. Before registering a project the CER will determine if the </w:t>
      </w:r>
      <w:r w:rsidR="00C327F1" w:rsidRPr="005206CA">
        <w:t>scheme participant</w:t>
      </w:r>
      <w:r w:rsidRPr="005206CA">
        <w:t xml:space="preserve"> is a </w:t>
      </w:r>
      <w:r w:rsidR="00CF0ECD">
        <w:t>F</w:t>
      </w:r>
      <w:r w:rsidR="00CF0ECD" w:rsidRPr="005206CA">
        <w:t xml:space="preserve">it </w:t>
      </w:r>
      <w:r w:rsidRPr="005206CA">
        <w:t>and</w:t>
      </w:r>
      <w:r w:rsidRPr="005206CA" w:rsidDel="00CF0ECD">
        <w:t xml:space="preserve"> </w:t>
      </w:r>
      <w:r w:rsidR="00CF0ECD">
        <w:t>P</w:t>
      </w:r>
      <w:r w:rsidR="00CF0ECD" w:rsidRPr="005206CA">
        <w:t>roper</w:t>
      </w:r>
      <w:r w:rsidRPr="005206CA">
        <w:t xml:space="preserve"> person; the project meets all eligibility criteria of the </w:t>
      </w:r>
      <w:r w:rsidRPr="005206CA">
        <w:rPr>
          <w:i/>
        </w:rPr>
        <w:t>C</w:t>
      </w:r>
      <w:r w:rsidR="00A07DF1" w:rsidRPr="005206CA">
        <w:rPr>
          <w:i/>
        </w:rPr>
        <w:t>arbon Credits (Carbon Farming Initiative)</w:t>
      </w:r>
      <w:r w:rsidRPr="005206CA">
        <w:rPr>
          <w:i/>
        </w:rPr>
        <w:t xml:space="preserve"> Act</w:t>
      </w:r>
      <w:r w:rsidR="00A07DF1" w:rsidRPr="005206CA">
        <w:rPr>
          <w:i/>
        </w:rPr>
        <w:t xml:space="preserve"> 2011</w:t>
      </w:r>
      <w:r w:rsidR="00A07DF1" w:rsidRPr="005206CA">
        <w:t xml:space="preserve"> (</w:t>
      </w:r>
      <w:r w:rsidR="00A07DF1" w:rsidRPr="005206CA">
        <w:rPr>
          <w:rStyle w:val="In-textChar"/>
        </w:rPr>
        <w:t>Cth</w:t>
      </w:r>
      <w:r w:rsidR="00A07DF1" w:rsidRPr="005206CA">
        <w:t>)</w:t>
      </w:r>
      <w:r w:rsidRPr="005206CA">
        <w:t xml:space="preserve">; and the project is consistent with the relevant method. The CER’s assessment aims to reduce the risk that a project could be non-compliant. </w:t>
      </w:r>
    </w:p>
    <w:p w14:paraId="77019E27" w14:textId="67E87D93" w:rsidR="006D0CD4" w:rsidRPr="005206CA" w:rsidRDefault="006D0CD4" w:rsidP="006D0CD4">
      <w:r w:rsidRPr="005206CA">
        <w:t xml:space="preserve">In order to undertake this assessment the CER requires detailed assurances from </w:t>
      </w:r>
      <w:r w:rsidR="007E5547" w:rsidRPr="005206CA">
        <w:t>scheme participants</w:t>
      </w:r>
      <w:r w:rsidRPr="005206CA">
        <w:t xml:space="preserve"> that they have met necessary legislative requirements. The CER may also require additional documents and information, require scheme participants to appoint a registered greenhouse and energy auditor to carry out compliance audits, or in some circumstances inspect premises to determine whether a project complies with legislation and regulations. </w:t>
      </w:r>
    </w:p>
    <w:p w14:paraId="141D28DE" w14:textId="77777777" w:rsidR="006D0CD4" w:rsidRPr="005206CA" w:rsidRDefault="00903462">
      <w:pPr>
        <w:pStyle w:val="Heading2"/>
      </w:pPr>
      <w:bookmarkStart w:id="1157" w:name="_Toc497819497"/>
      <w:bookmarkStart w:id="1158" w:name="_Toc498691565"/>
      <w:bookmarkStart w:id="1159" w:name="_Toc499043746"/>
      <w:bookmarkStart w:id="1160" w:name="_Toc499051771"/>
      <w:bookmarkStart w:id="1161" w:name="_Toc500251123"/>
      <w:bookmarkStart w:id="1162" w:name="_Toc500251398"/>
      <w:bookmarkStart w:id="1163" w:name="_Toc500253995"/>
      <w:bookmarkStart w:id="1164" w:name="_Toc500401502"/>
      <w:bookmarkStart w:id="1165" w:name="_Toc500490986"/>
      <w:bookmarkStart w:id="1166" w:name="_Toc500512928"/>
      <w:bookmarkStart w:id="1167" w:name="_Toc500514183"/>
      <w:bookmarkStart w:id="1168" w:name="_Toc500516240"/>
      <w:r w:rsidRPr="005206CA">
        <w:t>Project variation</w:t>
      </w:r>
      <w:bookmarkEnd w:id="1157"/>
      <w:bookmarkEnd w:id="1158"/>
      <w:bookmarkEnd w:id="1159"/>
      <w:bookmarkEnd w:id="1160"/>
      <w:bookmarkEnd w:id="1161"/>
      <w:bookmarkEnd w:id="1162"/>
      <w:bookmarkEnd w:id="1163"/>
      <w:bookmarkEnd w:id="1164"/>
      <w:bookmarkEnd w:id="1165"/>
      <w:bookmarkEnd w:id="1166"/>
      <w:bookmarkEnd w:id="1167"/>
      <w:bookmarkEnd w:id="1168"/>
      <w:r w:rsidRPr="005206CA">
        <w:t xml:space="preserve"> </w:t>
      </w:r>
    </w:p>
    <w:p w14:paraId="3DB5994D" w14:textId="3923CE62" w:rsidR="006D0CD4" w:rsidRPr="005206CA" w:rsidRDefault="002B7B1D" w:rsidP="006D0CD4">
      <w:r>
        <w:t>Scheme p</w:t>
      </w:r>
      <w:r w:rsidR="006D0CD4" w:rsidRPr="005206CA">
        <w:t xml:space="preserve">articipants may apply to the CER at any time to vary a project area, conditions, the start date, the participant, or method or to withdraw a project. </w:t>
      </w:r>
      <w:r>
        <w:t>Scheme p</w:t>
      </w:r>
      <w:r w:rsidR="006D0CD4" w:rsidRPr="005206CA">
        <w:t xml:space="preserve">articipants may need to relinquish ACCUs if a project area is removed from a sequestration project that has already been issued with </w:t>
      </w:r>
      <w:r w:rsidR="002B73FA" w:rsidRPr="005206CA">
        <w:t>ACCUs</w:t>
      </w:r>
      <w:r w:rsidR="006D0CD4" w:rsidRPr="005206CA">
        <w:t xml:space="preserve">. This ability to vary projects can assist aggregators and other carbon service providers in managing their portfolio of projects, however, it does create administrative complexity. </w:t>
      </w:r>
    </w:p>
    <w:p w14:paraId="7AC6F1D7" w14:textId="0C5A004D" w:rsidR="006D0CD4" w:rsidRPr="005206CA" w:rsidRDefault="006D0CD4" w:rsidP="006D0CD4">
      <w:r w:rsidRPr="005206CA">
        <w:t xml:space="preserve">The Authority is of the view that project variation is an important flexibility mechanism in the ERF as it allows </w:t>
      </w:r>
      <w:r w:rsidR="007E5547" w:rsidRPr="005206CA">
        <w:t xml:space="preserve">scheme participants </w:t>
      </w:r>
      <w:r w:rsidRPr="005206CA">
        <w:t xml:space="preserve">to reflect changes in projects while encouraging delivery. </w:t>
      </w:r>
    </w:p>
    <w:p w14:paraId="3D38C143" w14:textId="77777777" w:rsidR="006D0CD4" w:rsidRPr="005206CA" w:rsidRDefault="00903462">
      <w:pPr>
        <w:pStyle w:val="Heading2"/>
      </w:pPr>
      <w:bookmarkStart w:id="1169" w:name="_Toc497819498"/>
      <w:bookmarkStart w:id="1170" w:name="_Toc498691566"/>
      <w:bookmarkStart w:id="1171" w:name="_Toc499043747"/>
      <w:bookmarkStart w:id="1172" w:name="_Toc499051772"/>
      <w:bookmarkStart w:id="1173" w:name="_Ref500246958"/>
      <w:bookmarkStart w:id="1174" w:name="_Toc500251124"/>
      <w:bookmarkStart w:id="1175" w:name="_Toc500251399"/>
      <w:bookmarkStart w:id="1176" w:name="_Toc500253996"/>
      <w:bookmarkStart w:id="1177" w:name="_Toc500401503"/>
      <w:bookmarkStart w:id="1178" w:name="_Toc500490987"/>
      <w:bookmarkStart w:id="1179" w:name="_Toc500512929"/>
      <w:bookmarkStart w:id="1180" w:name="_Toc500514184"/>
      <w:bookmarkStart w:id="1181" w:name="_Toc500516241"/>
      <w:r w:rsidRPr="005206CA">
        <w:t>Eligible interest holder consents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455B006E" w14:textId="2DB15028" w:rsidR="006D0CD4" w:rsidRPr="005206CA" w:rsidRDefault="006D0CD4" w:rsidP="006D0CD4">
      <w:r w:rsidRPr="005206CA">
        <w:t xml:space="preserve">The CFI Act requires that </w:t>
      </w:r>
      <w:r w:rsidR="007E5547" w:rsidRPr="005206CA">
        <w:t xml:space="preserve">scheme participants </w:t>
      </w:r>
      <w:r w:rsidRPr="005206CA">
        <w:t>obtain consent from eligible interest holders for area based projects such as vegetation and savanna burning projects. Eligible interest holders include those with an interest in the land such as banks, state and territory crown lands ministers and native title holders.</w:t>
      </w:r>
    </w:p>
    <w:p w14:paraId="72B94D15" w14:textId="1CFB600B" w:rsidR="006D0CD4" w:rsidRPr="005206CA" w:rsidRDefault="006D0CD4" w:rsidP="00E55312">
      <w:r w:rsidRPr="005206CA">
        <w:t xml:space="preserve">It can be challenging for </w:t>
      </w:r>
      <w:r w:rsidR="007E5547" w:rsidRPr="005206CA">
        <w:t xml:space="preserve">scheme participants </w:t>
      </w:r>
      <w:r w:rsidRPr="005206CA">
        <w:t>to both identify and obtain consents from eligible interest holders. The requirements for obtaining consent vary depending on the state and land tenure type. As Clim</w:t>
      </w:r>
      <w:r w:rsidR="00C327F1" w:rsidRPr="005206CA">
        <w:t xml:space="preserve">ate Friendly’s </w:t>
      </w:r>
      <w:r w:rsidR="007E5547" w:rsidRPr="005206CA">
        <w:t>submission on</w:t>
      </w:r>
      <w:r w:rsidR="00C327F1" w:rsidRPr="005206CA">
        <w:t xml:space="preserve"> this r</w:t>
      </w:r>
      <w:r w:rsidRPr="005206CA">
        <w:t>eview said</w:t>
      </w:r>
      <w:r w:rsidR="004F489B" w:rsidRPr="005206CA">
        <w:t xml:space="preserve"> ‘</w:t>
      </w:r>
      <w:r w:rsidRPr="005206CA">
        <w:t>We continue to encounter new challenges in working with new interest holders who are unfamiliar with the ERF and/or do not have any processes for considering consent</w:t>
      </w:r>
      <w:r w:rsidR="004F489B" w:rsidRPr="005206CA">
        <w:t>’ (p. 9).</w:t>
      </w:r>
      <w:r w:rsidR="005537CB" w:rsidRPr="005206CA">
        <w:t xml:space="preserve"> </w:t>
      </w:r>
    </w:p>
    <w:p w14:paraId="3088AD9F" w14:textId="065CDE1C" w:rsidR="00E21D49" w:rsidRPr="005206CA" w:rsidRDefault="006D0CD4" w:rsidP="009A25BD">
      <w:r w:rsidRPr="005206CA">
        <w:t>The Authority is aware of particular concerns around obtaining eligible interest holder consents from native title holders (</w:t>
      </w:r>
      <w:r w:rsidR="00E82831" w:rsidRPr="005206CA">
        <w:rPr>
          <w:rStyle w:val="SectionChapterChar"/>
        </w:rPr>
        <w:fldChar w:fldCharType="begin"/>
      </w:r>
      <w:r w:rsidR="00E82831" w:rsidRPr="0033387E">
        <w:rPr>
          <w:rStyle w:val="SectionChapterChar"/>
        </w:rPr>
        <w:instrText xml:space="preserve"> REF _Ref500247363 \w \h </w:instrText>
      </w:r>
      <w:r w:rsidR="00E82831" w:rsidRP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Chapter 7</w:t>
      </w:r>
      <w:r w:rsidR="00E82831" w:rsidRPr="005206CA">
        <w:rPr>
          <w:rStyle w:val="SectionChapterChar"/>
        </w:rPr>
        <w:fldChar w:fldCharType="end"/>
      </w:r>
      <w:bookmarkStart w:id="1182" w:name="_Toc498690843"/>
      <w:bookmarkStart w:id="1183" w:name="_Toc498692203"/>
      <w:bookmarkStart w:id="1184" w:name="_Toc497819501"/>
      <w:bookmarkStart w:id="1185" w:name="_Toc498691569"/>
      <w:bookmarkStart w:id="1186" w:name="_Toc499043748"/>
      <w:bookmarkStart w:id="1187" w:name="_Toc499051773"/>
      <w:bookmarkEnd w:id="1182"/>
      <w:bookmarkEnd w:id="1183"/>
      <w:r w:rsidRPr="005206CA">
        <w:t>).</w:t>
      </w:r>
    </w:p>
    <w:p w14:paraId="0EC4F745" w14:textId="77777777" w:rsidR="006D0CD4" w:rsidRPr="005206CA" w:rsidRDefault="00903462">
      <w:pPr>
        <w:pStyle w:val="Heading2"/>
      </w:pPr>
      <w:bookmarkStart w:id="1188" w:name="_Toc500251125"/>
      <w:bookmarkStart w:id="1189" w:name="_Toc500251400"/>
      <w:bookmarkStart w:id="1190" w:name="_Toc500253997"/>
      <w:bookmarkStart w:id="1191" w:name="_Toc500401504"/>
      <w:bookmarkStart w:id="1192" w:name="_Toc500490988"/>
      <w:bookmarkStart w:id="1193" w:name="_Toc500512930"/>
      <w:bookmarkStart w:id="1194" w:name="_Toc500514185"/>
      <w:bookmarkStart w:id="1195" w:name="_Toc500516242"/>
      <w:r w:rsidRPr="005206CA">
        <w:t>Crediting</w:t>
      </w:r>
      <w:bookmarkEnd w:id="1184"/>
      <w:bookmarkEnd w:id="1185"/>
      <w:bookmarkEnd w:id="1186"/>
      <w:bookmarkEnd w:id="1187"/>
      <w:bookmarkEnd w:id="1188"/>
      <w:bookmarkEnd w:id="1189"/>
      <w:bookmarkEnd w:id="1190"/>
      <w:bookmarkEnd w:id="1191"/>
      <w:bookmarkEnd w:id="1192"/>
      <w:bookmarkEnd w:id="1193"/>
      <w:bookmarkEnd w:id="1194"/>
      <w:bookmarkEnd w:id="1195"/>
      <w:r w:rsidRPr="005206CA">
        <w:t xml:space="preserve"> </w:t>
      </w:r>
    </w:p>
    <w:p w14:paraId="354ED7FA" w14:textId="179F5C1E" w:rsidR="006D0CD4" w:rsidRPr="005206CA" w:rsidRDefault="006D0CD4" w:rsidP="006D0CD4">
      <w:r w:rsidRPr="005206CA">
        <w:t xml:space="preserve">The CER credits one ACCU for each tonne of carbon dioxide equivalent stored or avoided by a registered project and enters the ACCU in the Australian National Registry of Emissions Units. </w:t>
      </w:r>
    </w:p>
    <w:p w14:paraId="2CC0575B" w14:textId="33C187E7" w:rsidR="006D0CD4" w:rsidRPr="005206CA" w:rsidRDefault="006D0CD4" w:rsidP="006D0CD4">
      <w:r w:rsidRPr="005206CA">
        <w:t>The CER credits ACCUs after it verifies the scheme participant’s report to the CER. The report outlines how the emissions reductions have been calculated (</w:t>
      </w:r>
      <w:r w:rsidRPr="005206CA">
        <w:rPr>
          <w:rStyle w:val="In-textChar"/>
        </w:rPr>
        <w:t xml:space="preserve">CER </w:t>
      </w:r>
      <w:r w:rsidR="00FF0CEA" w:rsidRPr="005206CA">
        <w:rPr>
          <w:rStyle w:val="In-textChar"/>
        </w:rPr>
        <w:t>2015c</w:t>
      </w:r>
      <w:r w:rsidRPr="005206CA">
        <w:t xml:space="preserve">). </w:t>
      </w:r>
      <w:r w:rsidR="002B7B1D">
        <w:t>Scheme p</w:t>
      </w:r>
      <w:r w:rsidRPr="005206CA">
        <w:t>articipants can submit project reports every six months except large projects, which can submit monthly reports (</w:t>
      </w:r>
      <w:r w:rsidR="00FF0CEA" w:rsidRPr="005206CA">
        <w:rPr>
          <w:i/>
        </w:rPr>
        <w:t>Carbon Credits (Carbon Farming Initiative) Rule 2015</w:t>
      </w:r>
      <w:r w:rsidR="00FF0CEA" w:rsidRPr="005206CA">
        <w:t xml:space="preserve"> (Cth) (</w:t>
      </w:r>
      <w:r w:rsidR="00FF0CEA" w:rsidRPr="005206CA">
        <w:rPr>
          <w:rStyle w:val="In-textChar"/>
        </w:rPr>
        <w:t>CFI Rule</w:t>
      </w:r>
      <w:r w:rsidRPr="005206CA">
        <w:t xml:space="preserve">). Project reports include the outcomes of any auditing requirements. </w:t>
      </w:r>
    </w:p>
    <w:p w14:paraId="69E4071D" w14:textId="77777777" w:rsidR="006D0CD4" w:rsidRPr="005206CA" w:rsidRDefault="00654082">
      <w:pPr>
        <w:pStyle w:val="Heading3"/>
      </w:pPr>
      <w:r w:rsidRPr="005206CA">
        <w:t>The crediting period</w:t>
      </w:r>
    </w:p>
    <w:p w14:paraId="6BF1C131" w14:textId="22877772" w:rsidR="006D0CD4" w:rsidRPr="005206CA" w:rsidRDefault="006D0CD4" w:rsidP="006D0CD4">
      <w:r w:rsidRPr="005206CA">
        <w:t xml:space="preserve">The crediting period is the maximum period for which a registered project can earn ACCUs. Limiting crediting periods aims to ensure </w:t>
      </w:r>
      <w:r w:rsidR="002B73FA" w:rsidRPr="005206CA">
        <w:t>ACCUs</w:t>
      </w:r>
      <w:r w:rsidRPr="005206CA">
        <w:t xml:space="preserve"> are not issued if they are no longer additional (</w:t>
      </w:r>
      <w:r w:rsidRPr="005206CA">
        <w:rPr>
          <w:rStyle w:val="In-textChar"/>
        </w:rPr>
        <w:t>Australian Government 2014</w:t>
      </w:r>
      <w:r w:rsidRPr="005206CA">
        <w:t xml:space="preserve">). Crediting periods range from </w:t>
      </w:r>
      <w:r w:rsidR="004D5389">
        <w:t>7</w:t>
      </w:r>
      <w:r w:rsidR="004D5389" w:rsidRPr="005206CA">
        <w:t xml:space="preserve"> </w:t>
      </w:r>
      <w:r w:rsidRPr="005206CA">
        <w:t>to 25 years – sequestration projects tend to have longer crediting periods than emissions avoidance projects reflecting the length of time required to achieve a rate of return. The exception is savanna fire projects, which were given a longer crediting period (and opportunity to earn revenue) to reflect equity concerns for Indigenous communities.</w:t>
      </w:r>
    </w:p>
    <w:p w14:paraId="348D76F4" w14:textId="76FD2E9D" w:rsidR="006D0CD4" w:rsidRPr="005206CA" w:rsidRDefault="006D0CD4" w:rsidP="006D0CD4">
      <w:r w:rsidRPr="005206CA">
        <w:t xml:space="preserve">The ERF draws a distinction between the length of time that ERF projects can generate </w:t>
      </w:r>
      <w:r w:rsidR="002B73FA" w:rsidRPr="005206CA">
        <w:t>ACCUs</w:t>
      </w:r>
      <w:r w:rsidRPr="005206CA">
        <w:t xml:space="preserve"> and the period of time for which ERF projects can receive paym</w:t>
      </w:r>
      <w:r w:rsidR="00C66BA2" w:rsidRPr="005206CA">
        <w:t>ent under a G</w:t>
      </w:r>
      <w:r w:rsidRPr="005206CA">
        <w:t>overnment contract (</w:t>
      </w:r>
      <w:r w:rsidR="00F610FD" w:rsidRPr="00AC7279">
        <w:rPr>
          <w:rStyle w:val="SectionChapterChar"/>
        </w:rPr>
        <w:fldChar w:fldCharType="begin"/>
      </w:r>
      <w:r w:rsidR="00F610FD" w:rsidRPr="005206CA">
        <w:instrText xml:space="preserve"> REF _Ref497377778 \h </w:instrText>
      </w:r>
      <w:r w:rsidR="0002132E" w:rsidRPr="005206CA">
        <w:instrText xml:space="preserve"> \* MERGEFORMAT </w:instrText>
      </w:r>
      <w:r w:rsidR="00F610FD" w:rsidRPr="00AC7279">
        <w:rPr>
          <w:rStyle w:val="SectionChapterChar"/>
        </w:rPr>
      </w:r>
      <w:r w:rsidR="00F610FD" w:rsidRPr="00AC7279">
        <w:rPr>
          <w:rStyle w:val="SectionChapterChar"/>
        </w:rPr>
        <w:fldChar w:fldCharType="separate"/>
      </w:r>
      <w:r w:rsidR="00FA2002" w:rsidRPr="005206CA">
        <w:rPr>
          <w:rFonts w:cs="Arial"/>
        </w:rPr>
        <w:t xml:space="preserve">Table </w:t>
      </w:r>
      <w:r w:rsidR="00FA2002">
        <w:rPr>
          <w:rFonts w:cs="Arial"/>
          <w:noProof/>
        </w:rPr>
        <w:t>8</w:t>
      </w:r>
      <w:r w:rsidR="00F610FD" w:rsidRPr="00AC7279">
        <w:rPr>
          <w:rStyle w:val="SectionChapterChar"/>
        </w:rPr>
        <w:fldChar w:fldCharType="end"/>
      </w:r>
      <w:r w:rsidRPr="005206CA">
        <w:t>). Restricting contract periods is intended to manage the Government’s liability for ERF contracts.</w:t>
      </w:r>
    </w:p>
    <w:p w14:paraId="321935C0" w14:textId="77777777" w:rsidR="005C77F4" w:rsidRPr="005206CA" w:rsidRDefault="005C77F4" w:rsidP="005C77F4">
      <w:pPr>
        <w:pStyle w:val="CCAFigure"/>
        <w:rPr>
          <w:rFonts w:cs="Arial"/>
        </w:rPr>
      </w:pPr>
      <w:bookmarkStart w:id="1196" w:name="_Ref497377778"/>
      <w:bookmarkStart w:id="1197" w:name="_Toc497316967"/>
      <w:bookmarkStart w:id="1198" w:name="_Toc497377345"/>
      <w:bookmarkStart w:id="1199" w:name="_Toc497819436"/>
      <w:bookmarkStart w:id="1200" w:name="_Toc498691498"/>
      <w:bookmarkStart w:id="1201" w:name="_Toc499051698"/>
      <w:bookmarkStart w:id="1202" w:name="_Toc500251047"/>
      <w:bookmarkStart w:id="1203" w:name="_Toc500251322"/>
      <w:bookmarkStart w:id="1204" w:name="_Toc500253919"/>
      <w:bookmarkStart w:id="1205" w:name="_Toc500400122"/>
      <w:bookmarkStart w:id="1206" w:name="_Toc500490910"/>
      <w:bookmarkStart w:id="1207" w:name="_Toc500513626"/>
      <w:bookmarkStart w:id="1208" w:name="_Toc500516164"/>
      <w:r w:rsidRPr="005206CA">
        <w:rPr>
          <w:rFonts w:cs="Arial"/>
        </w:rPr>
        <w:t xml:space="preserve">Table </w:t>
      </w:r>
      <w:r w:rsidRPr="005206CA">
        <w:fldChar w:fldCharType="begin"/>
      </w:r>
      <w:r w:rsidRPr="005206CA">
        <w:rPr>
          <w:rFonts w:cs="Arial"/>
        </w:rPr>
        <w:instrText xml:space="preserve"> SEQ Table \* ARABIC </w:instrText>
      </w:r>
      <w:r w:rsidRPr="005206CA">
        <w:fldChar w:fldCharType="separate"/>
      </w:r>
      <w:r w:rsidR="00FA2002">
        <w:rPr>
          <w:rFonts w:cs="Arial"/>
          <w:noProof/>
        </w:rPr>
        <w:t>8</w:t>
      </w:r>
      <w:r w:rsidRPr="005206CA">
        <w:fldChar w:fldCharType="end"/>
      </w:r>
      <w:bookmarkEnd w:id="1196"/>
      <w:r w:rsidRPr="005206CA">
        <w:rPr>
          <w:rFonts w:cs="Arial"/>
        </w:rPr>
        <w:t>: ERF contract, crediting and permanence periods - definitions</w:t>
      </w:r>
      <w:bookmarkEnd w:id="1197"/>
      <w:bookmarkEnd w:id="1198"/>
      <w:bookmarkEnd w:id="1199"/>
      <w:bookmarkEnd w:id="1200"/>
      <w:bookmarkEnd w:id="1201"/>
      <w:bookmarkEnd w:id="1202"/>
      <w:bookmarkEnd w:id="1203"/>
      <w:bookmarkEnd w:id="1204"/>
      <w:bookmarkEnd w:id="1205"/>
      <w:bookmarkEnd w:id="1206"/>
      <w:bookmarkEnd w:id="1207"/>
      <w:bookmarkEnd w:id="1208"/>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3067"/>
        <w:gridCol w:w="3067"/>
        <w:gridCol w:w="3068"/>
      </w:tblGrid>
      <w:tr w:rsidR="005C77F4" w:rsidRPr="005206CA" w14:paraId="0EEFA5DF" w14:textId="77777777" w:rsidTr="005C77F4">
        <w:trPr>
          <w:cnfStyle w:val="100000000000" w:firstRow="1" w:lastRow="0" w:firstColumn="0" w:lastColumn="0" w:oddVBand="0" w:evenVBand="0" w:oddHBand="0" w:evenHBand="0" w:firstRowFirstColumn="0" w:firstRowLastColumn="0" w:lastRowFirstColumn="0" w:lastRowLastColumn="0"/>
        </w:trPr>
        <w:tc>
          <w:tcPr>
            <w:tcW w:w="3067" w:type="dxa"/>
            <w:tcBorders>
              <w:top w:val="nil"/>
              <w:left w:val="nil"/>
              <w:bottom w:val="dotted" w:sz="4" w:space="0" w:color="auto"/>
              <w:right w:val="nil"/>
            </w:tcBorders>
            <w:shd w:val="clear" w:color="auto" w:fill="309CC8"/>
            <w:hideMark/>
          </w:tcPr>
          <w:p w14:paraId="0C2FC8B1" w14:textId="77777777" w:rsidR="005C77F4" w:rsidRPr="005206CA" w:rsidRDefault="005C77F4">
            <w:pPr>
              <w:pStyle w:val="TableHeader"/>
              <w:spacing w:before="40" w:after="40" w:line="200" w:lineRule="exact"/>
              <w:rPr>
                <w:rStyle w:val="apple-converted-space"/>
              </w:rPr>
            </w:pPr>
            <w:r w:rsidRPr="005206CA">
              <w:rPr>
                <w:rStyle w:val="apple-converted-space"/>
              </w:rPr>
              <w:t>Term</w:t>
            </w:r>
          </w:p>
        </w:tc>
        <w:tc>
          <w:tcPr>
            <w:tcW w:w="3067" w:type="dxa"/>
            <w:tcBorders>
              <w:top w:val="nil"/>
              <w:left w:val="nil"/>
              <w:bottom w:val="dotted" w:sz="4" w:space="0" w:color="auto"/>
              <w:right w:val="nil"/>
            </w:tcBorders>
            <w:shd w:val="clear" w:color="auto" w:fill="309CC8"/>
            <w:hideMark/>
          </w:tcPr>
          <w:p w14:paraId="2032DBC9" w14:textId="77777777" w:rsidR="005C77F4" w:rsidRPr="005206CA" w:rsidRDefault="005C77F4">
            <w:pPr>
              <w:pStyle w:val="TableHeader"/>
              <w:spacing w:before="40" w:after="40" w:line="200" w:lineRule="exact"/>
              <w:rPr>
                <w:rStyle w:val="apple-converted-space"/>
              </w:rPr>
            </w:pPr>
            <w:r w:rsidRPr="005206CA">
              <w:rPr>
                <w:rStyle w:val="apple-converted-space"/>
              </w:rPr>
              <w:t>Definition</w:t>
            </w:r>
          </w:p>
        </w:tc>
        <w:tc>
          <w:tcPr>
            <w:tcW w:w="3068" w:type="dxa"/>
            <w:tcBorders>
              <w:top w:val="nil"/>
              <w:left w:val="nil"/>
              <w:bottom w:val="dotted" w:sz="4" w:space="0" w:color="auto"/>
              <w:right w:val="nil"/>
            </w:tcBorders>
            <w:shd w:val="clear" w:color="auto" w:fill="309CC8"/>
            <w:hideMark/>
          </w:tcPr>
          <w:p w14:paraId="5A266B4F" w14:textId="77777777" w:rsidR="005C77F4" w:rsidRPr="005206CA" w:rsidRDefault="005C77F4">
            <w:pPr>
              <w:pStyle w:val="TableHeader"/>
              <w:spacing w:before="40" w:after="40" w:line="200" w:lineRule="exact"/>
              <w:rPr>
                <w:rStyle w:val="apple-converted-space"/>
              </w:rPr>
            </w:pPr>
            <w:r w:rsidRPr="005206CA">
              <w:rPr>
                <w:rStyle w:val="apple-converted-space"/>
              </w:rPr>
              <w:t>Length</w:t>
            </w:r>
          </w:p>
        </w:tc>
      </w:tr>
      <w:tr w:rsidR="005C77F4" w:rsidRPr="005206CA" w14:paraId="16B1DAC1" w14:textId="77777777" w:rsidTr="005C77F4">
        <w:trPr>
          <w:cnfStyle w:val="000000100000" w:firstRow="0" w:lastRow="0" w:firstColumn="0" w:lastColumn="0" w:oddVBand="0" w:evenVBand="0" w:oddHBand="1" w:evenHBand="0" w:firstRowFirstColumn="0" w:firstRowLastColumn="0" w:lastRowFirstColumn="0" w:lastRowLastColumn="0"/>
        </w:trPr>
        <w:tc>
          <w:tcPr>
            <w:tcW w:w="3067" w:type="dxa"/>
            <w:tcBorders>
              <w:top w:val="dotted" w:sz="4" w:space="0" w:color="auto"/>
              <w:left w:val="nil"/>
              <w:bottom w:val="dotted" w:sz="4" w:space="0" w:color="auto"/>
              <w:right w:val="nil"/>
            </w:tcBorders>
            <w:hideMark/>
          </w:tcPr>
          <w:p w14:paraId="1ABB0C45" w14:textId="77777777" w:rsidR="005C77F4" w:rsidRPr="005B62E5" w:rsidRDefault="005C77F4">
            <w:pPr>
              <w:pStyle w:val="CCATabletext"/>
              <w:rPr>
                <w:rStyle w:val="apple-converted-space"/>
                <w:rFonts w:eastAsiaTheme="minorHAnsi" w:cs="Arial"/>
                <w:b/>
                <w:color w:val="000000"/>
                <w:sz w:val="16"/>
                <w:szCs w:val="16"/>
                <w:lang w:val="en-US"/>
              </w:rPr>
            </w:pPr>
            <w:r w:rsidRPr="005B62E5">
              <w:rPr>
                <w:rStyle w:val="apple-converted-space"/>
                <w:rFonts w:cs="Arial"/>
                <w:b/>
                <w:color w:val="000000"/>
                <w:sz w:val="16"/>
                <w:szCs w:val="16"/>
              </w:rPr>
              <w:t>Crediting period</w:t>
            </w:r>
          </w:p>
        </w:tc>
        <w:tc>
          <w:tcPr>
            <w:tcW w:w="3067" w:type="dxa"/>
            <w:tcBorders>
              <w:top w:val="dotted" w:sz="4" w:space="0" w:color="auto"/>
              <w:left w:val="nil"/>
              <w:bottom w:val="dotted" w:sz="4" w:space="0" w:color="auto"/>
              <w:right w:val="nil"/>
            </w:tcBorders>
            <w:hideMark/>
          </w:tcPr>
          <w:p w14:paraId="14D265A5" w14:textId="77777777" w:rsidR="005C77F4" w:rsidRPr="005206CA" w:rsidRDefault="005C77F4">
            <w:pPr>
              <w:pStyle w:val="CCATabletext"/>
              <w:rPr>
                <w:rStyle w:val="apple-converted-space"/>
                <w:rFonts w:eastAsiaTheme="minorHAnsi" w:cs="Arial"/>
                <w:bCs/>
                <w:color w:val="000000"/>
                <w:sz w:val="16"/>
                <w:szCs w:val="16"/>
                <w:lang w:val="en-US"/>
              </w:rPr>
            </w:pPr>
            <w:r w:rsidRPr="005206CA">
              <w:rPr>
                <w:rFonts w:cs="Arial"/>
                <w:sz w:val="16"/>
                <w:szCs w:val="16"/>
              </w:rPr>
              <w:t>Period over which a registered ERF project can earn ACCUs.</w:t>
            </w:r>
          </w:p>
        </w:tc>
        <w:tc>
          <w:tcPr>
            <w:tcW w:w="3068" w:type="dxa"/>
            <w:tcBorders>
              <w:top w:val="dotted" w:sz="4" w:space="0" w:color="auto"/>
              <w:left w:val="nil"/>
              <w:bottom w:val="dotted" w:sz="4" w:space="0" w:color="auto"/>
              <w:right w:val="nil"/>
            </w:tcBorders>
            <w:hideMark/>
          </w:tcPr>
          <w:p w14:paraId="669235B8" w14:textId="77777777" w:rsidR="005C77F4" w:rsidRPr="005206CA" w:rsidRDefault="005C77F4">
            <w:pPr>
              <w:pStyle w:val="CCATabletext"/>
              <w:rPr>
                <w:rStyle w:val="apple-converted-space"/>
                <w:rFonts w:eastAsiaTheme="minorHAnsi" w:cs="Arial"/>
                <w:color w:val="000000"/>
                <w:sz w:val="16"/>
                <w:szCs w:val="16"/>
                <w:lang w:val="en-US"/>
              </w:rPr>
            </w:pPr>
            <w:r w:rsidRPr="005206CA">
              <w:rPr>
                <w:rStyle w:val="apple-converted-space"/>
                <w:rFonts w:cs="Arial"/>
                <w:color w:val="000000"/>
                <w:sz w:val="16"/>
                <w:szCs w:val="16"/>
              </w:rPr>
              <w:t xml:space="preserve">7 years for emissions avoidance projects other than savanna burning. </w:t>
            </w:r>
          </w:p>
          <w:p w14:paraId="1223B853" w14:textId="77777777" w:rsidR="005C77F4" w:rsidRPr="005206CA" w:rsidRDefault="005C77F4">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15 or 20 years for avoided deforestation projects.</w:t>
            </w:r>
          </w:p>
          <w:p w14:paraId="7F6311E1" w14:textId="77777777" w:rsidR="005C77F4" w:rsidRPr="005206CA" w:rsidRDefault="005C77F4">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 xml:space="preserve">25 years for savanna burning and sequestration projects except avoided deforestation. </w:t>
            </w:r>
          </w:p>
        </w:tc>
      </w:tr>
      <w:tr w:rsidR="005C77F4" w:rsidRPr="005206CA" w14:paraId="3E14AB71" w14:textId="77777777" w:rsidTr="005C77F4">
        <w:trPr>
          <w:cnfStyle w:val="000000010000" w:firstRow="0" w:lastRow="0" w:firstColumn="0" w:lastColumn="0" w:oddVBand="0" w:evenVBand="0" w:oddHBand="0" w:evenHBand="1" w:firstRowFirstColumn="0" w:firstRowLastColumn="0" w:lastRowFirstColumn="0" w:lastRowLastColumn="0"/>
        </w:trPr>
        <w:tc>
          <w:tcPr>
            <w:tcW w:w="3067" w:type="dxa"/>
            <w:tcBorders>
              <w:top w:val="dotted" w:sz="4" w:space="0" w:color="auto"/>
              <w:left w:val="nil"/>
              <w:bottom w:val="dotted" w:sz="4" w:space="0" w:color="auto"/>
              <w:right w:val="nil"/>
            </w:tcBorders>
            <w:hideMark/>
          </w:tcPr>
          <w:p w14:paraId="4021D4E3" w14:textId="3A003215" w:rsidR="005C77F4" w:rsidRPr="005B62E5" w:rsidRDefault="005C77F4">
            <w:pPr>
              <w:pStyle w:val="CCATabletext"/>
              <w:rPr>
                <w:rStyle w:val="apple-converted-space"/>
                <w:rFonts w:eastAsiaTheme="minorHAnsi" w:cs="Arial"/>
                <w:b/>
                <w:color w:val="000000"/>
                <w:sz w:val="16"/>
                <w:szCs w:val="16"/>
                <w:lang w:val="en-US"/>
              </w:rPr>
            </w:pPr>
            <w:r w:rsidRPr="005B62E5">
              <w:rPr>
                <w:rStyle w:val="apple-converted-space"/>
                <w:rFonts w:cs="Arial"/>
                <w:b/>
                <w:color w:val="000000"/>
                <w:sz w:val="16"/>
                <w:szCs w:val="16"/>
              </w:rPr>
              <w:t>Contract period</w:t>
            </w:r>
            <w:r w:rsidR="00285E51" w:rsidRPr="005B62E5">
              <w:rPr>
                <w:rStyle w:val="apple-converted-space"/>
                <w:rFonts w:cs="Arial"/>
                <w:b/>
                <w:color w:val="000000"/>
                <w:sz w:val="16"/>
                <w:szCs w:val="16"/>
              </w:rPr>
              <w:t xml:space="preserve"> (</w:t>
            </w:r>
            <w:r w:rsidR="00285E51" w:rsidRPr="005B62E5">
              <w:rPr>
                <w:rStyle w:val="SectionChapterChar"/>
                <w:b/>
                <w:sz w:val="16"/>
                <w:szCs w:val="16"/>
              </w:rPr>
              <w:t xml:space="preserve">Section </w:t>
            </w:r>
            <w:r w:rsidR="00E82831" w:rsidRPr="005B62E5">
              <w:rPr>
                <w:rStyle w:val="SectionChapterChar"/>
                <w:b/>
                <w:sz w:val="16"/>
                <w:szCs w:val="16"/>
              </w:rPr>
              <w:fldChar w:fldCharType="begin"/>
            </w:r>
            <w:r w:rsidR="00E82831" w:rsidRPr="005B62E5">
              <w:rPr>
                <w:rStyle w:val="SectionChapterChar"/>
                <w:b/>
                <w:sz w:val="16"/>
                <w:szCs w:val="16"/>
              </w:rPr>
              <w:instrText xml:space="preserve"> REF _Ref497378650 \w \h  \* MERGEFORMAT </w:instrText>
            </w:r>
            <w:r w:rsidR="00E82831" w:rsidRPr="005B62E5">
              <w:rPr>
                <w:rStyle w:val="SectionChapterChar"/>
                <w:b/>
                <w:sz w:val="16"/>
                <w:szCs w:val="16"/>
              </w:rPr>
            </w:r>
            <w:r w:rsidR="00E82831" w:rsidRPr="005B62E5">
              <w:rPr>
                <w:rStyle w:val="SectionChapterChar"/>
                <w:b/>
                <w:sz w:val="16"/>
                <w:szCs w:val="16"/>
              </w:rPr>
              <w:fldChar w:fldCharType="separate"/>
            </w:r>
            <w:r w:rsidR="00FA2002">
              <w:rPr>
                <w:rStyle w:val="SectionChapterChar"/>
                <w:b/>
                <w:sz w:val="16"/>
                <w:szCs w:val="16"/>
              </w:rPr>
              <w:t>10.4</w:t>
            </w:r>
            <w:r w:rsidR="00E82831" w:rsidRPr="005B62E5">
              <w:rPr>
                <w:rStyle w:val="SectionChapterChar"/>
                <w:b/>
                <w:sz w:val="16"/>
                <w:szCs w:val="16"/>
              </w:rPr>
              <w:fldChar w:fldCharType="end"/>
            </w:r>
            <w:r w:rsidR="00285E51" w:rsidRPr="005B62E5">
              <w:rPr>
                <w:rStyle w:val="apple-converted-space"/>
                <w:rFonts w:cs="Arial"/>
                <w:b/>
                <w:color w:val="000000"/>
                <w:sz w:val="16"/>
                <w:szCs w:val="16"/>
              </w:rPr>
              <w:t>)</w:t>
            </w:r>
          </w:p>
        </w:tc>
        <w:tc>
          <w:tcPr>
            <w:tcW w:w="3067" w:type="dxa"/>
            <w:tcBorders>
              <w:top w:val="dotted" w:sz="4" w:space="0" w:color="auto"/>
              <w:left w:val="nil"/>
              <w:bottom w:val="dotted" w:sz="4" w:space="0" w:color="auto"/>
              <w:right w:val="nil"/>
            </w:tcBorders>
            <w:hideMark/>
          </w:tcPr>
          <w:p w14:paraId="6CF0D9D6" w14:textId="57A08497" w:rsidR="005C77F4" w:rsidRPr="005206CA" w:rsidRDefault="005C77F4">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 xml:space="preserve">Period over which ERF projects receive payment from a </w:t>
            </w:r>
            <w:r w:rsidR="00C66BA2" w:rsidRPr="005206CA">
              <w:rPr>
                <w:rStyle w:val="apple-converted-space"/>
                <w:rFonts w:cs="Arial"/>
                <w:color w:val="000000"/>
                <w:sz w:val="16"/>
                <w:szCs w:val="16"/>
              </w:rPr>
              <w:t>G</w:t>
            </w:r>
            <w:r w:rsidRPr="005206CA">
              <w:rPr>
                <w:rStyle w:val="apple-converted-space"/>
                <w:rFonts w:cs="Arial"/>
                <w:color w:val="000000"/>
                <w:sz w:val="16"/>
                <w:szCs w:val="16"/>
              </w:rPr>
              <w:t>overnment contract in exchange for delivery of ACCUs.</w:t>
            </w:r>
          </w:p>
        </w:tc>
        <w:tc>
          <w:tcPr>
            <w:tcW w:w="3068" w:type="dxa"/>
            <w:tcBorders>
              <w:top w:val="dotted" w:sz="4" w:space="0" w:color="auto"/>
              <w:left w:val="nil"/>
              <w:bottom w:val="dotted" w:sz="4" w:space="0" w:color="auto"/>
              <w:right w:val="nil"/>
            </w:tcBorders>
            <w:hideMark/>
          </w:tcPr>
          <w:p w14:paraId="6EE1CA9E" w14:textId="4AF8FBB4" w:rsidR="005C77F4" w:rsidRPr="005206CA" w:rsidRDefault="00285E51">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 xml:space="preserve">Maximum of </w:t>
            </w:r>
            <w:r w:rsidR="002C0CC1">
              <w:rPr>
                <w:rStyle w:val="apple-converted-space"/>
                <w:rFonts w:cs="Arial"/>
                <w:color w:val="000000"/>
                <w:sz w:val="16"/>
                <w:szCs w:val="16"/>
              </w:rPr>
              <w:t>7</w:t>
            </w:r>
            <w:r w:rsidR="002C0CC1" w:rsidRPr="005206CA">
              <w:rPr>
                <w:rStyle w:val="apple-converted-space"/>
                <w:rFonts w:cs="Arial"/>
                <w:color w:val="000000"/>
                <w:sz w:val="16"/>
                <w:szCs w:val="16"/>
              </w:rPr>
              <w:t xml:space="preserve"> </w:t>
            </w:r>
            <w:r w:rsidR="005C77F4" w:rsidRPr="005206CA">
              <w:rPr>
                <w:rStyle w:val="apple-converted-space"/>
                <w:rFonts w:cs="Arial"/>
                <w:color w:val="000000"/>
                <w:sz w:val="16"/>
                <w:szCs w:val="16"/>
              </w:rPr>
              <w:t>years for emissions avoidance projects except savanna burning.</w:t>
            </w:r>
          </w:p>
          <w:p w14:paraId="6727148B" w14:textId="77777777" w:rsidR="005C77F4" w:rsidRPr="005206CA" w:rsidRDefault="00285E51">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 xml:space="preserve">Maximum of </w:t>
            </w:r>
            <w:r w:rsidR="005C77F4" w:rsidRPr="005206CA">
              <w:rPr>
                <w:rStyle w:val="apple-converted-space"/>
                <w:rFonts w:cs="Arial"/>
                <w:color w:val="000000"/>
                <w:sz w:val="16"/>
                <w:szCs w:val="16"/>
              </w:rPr>
              <w:t xml:space="preserve">10 years for savanna burning and sequestration projects. </w:t>
            </w:r>
          </w:p>
          <w:p w14:paraId="614C1028" w14:textId="77777777" w:rsidR="005C77F4" w:rsidRPr="005206CA" w:rsidRDefault="00285E51" w:rsidP="00C90703">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O</w:t>
            </w:r>
            <w:r w:rsidR="005C77F4" w:rsidRPr="005206CA">
              <w:rPr>
                <w:rStyle w:val="apple-converted-space"/>
                <w:rFonts w:cs="Arial"/>
                <w:color w:val="000000"/>
                <w:sz w:val="16"/>
                <w:szCs w:val="16"/>
              </w:rPr>
              <w:t>ther shorter contra</w:t>
            </w:r>
            <w:r w:rsidR="00C90703" w:rsidRPr="005206CA">
              <w:rPr>
                <w:rStyle w:val="apple-converted-space"/>
                <w:rFonts w:cs="Arial"/>
                <w:color w:val="000000"/>
                <w:sz w:val="16"/>
                <w:szCs w:val="16"/>
              </w:rPr>
              <w:t>ct periods to give flexibility.</w:t>
            </w:r>
          </w:p>
        </w:tc>
      </w:tr>
      <w:tr w:rsidR="005C77F4" w:rsidRPr="005206CA" w14:paraId="52127B76" w14:textId="77777777" w:rsidTr="005C77F4">
        <w:trPr>
          <w:cnfStyle w:val="000000100000" w:firstRow="0" w:lastRow="0" w:firstColumn="0" w:lastColumn="0" w:oddVBand="0" w:evenVBand="0" w:oddHBand="1" w:evenHBand="0" w:firstRowFirstColumn="0" w:firstRowLastColumn="0" w:lastRowFirstColumn="0" w:lastRowLastColumn="0"/>
        </w:trPr>
        <w:tc>
          <w:tcPr>
            <w:tcW w:w="3067" w:type="dxa"/>
            <w:tcBorders>
              <w:top w:val="dotted" w:sz="4" w:space="0" w:color="auto"/>
              <w:left w:val="nil"/>
              <w:bottom w:val="nil"/>
              <w:right w:val="nil"/>
            </w:tcBorders>
            <w:hideMark/>
          </w:tcPr>
          <w:p w14:paraId="3A01F0E2" w14:textId="31881300" w:rsidR="005C77F4" w:rsidRPr="005B62E5" w:rsidRDefault="005C77F4">
            <w:pPr>
              <w:pStyle w:val="CCATabletext"/>
              <w:rPr>
                <w:rStyle w:val="apple-converted-space"/>
                <w:rFonts w:eastAsiaTheme="minorHAnsi" w:cs="Arial"/>
                <w:b/>
                <w:color w:val="000000"/>
                <w:sz w:val="16"/>
                <w:szCs w:val="16"/>
                <w:lang w:val="en-US"/>
              </w:rPr>
            </w:pPr>
            <w:r w:rsidRPr="005B62E5">
              <w:rPr>
                <w:rStyle w:val="apple-converted-space"/>
                <w:rFonts w:cs="Arial"/>
                <w:b/>
                <w:color w:val="000000"/>
                <w:sz w:val="16"/>
                <w:szCs w:val="16"/>
              </w:rPr>
              <w:t>Permanence period (</w:t>
            </w:r>
            <w:r w:rsidR="00E82831" w:rsidRPr="005B62E5">
              <w:rPr>
                <w:rStyle w:val="SectionChapterChar"/>
                <w:b/>
                <w:sz w:val="16"/>
                <w:szCs w:val="16"/>
              </w:rPr>
              <w:fldChar w:fldCharType="begin"/>
            </w:r>
            <w:r w:rsidR="00E82831" w:rsidRPr="005B62E5">
              <w:rPr>
                <w:rStyle w:val="SectionChapterChar"/>
                <w:b/>
                <w:sz w:val="16"/>
                <w:szCs w:val="16"/>
              </w:rPr>
              <w:instrText xml:space="preserve"> REF _Ref500247521 \w \h  \* MERGEFORMAT </w:instrText>
            </w:r>
            <w:r w:rsidR="00E82831" w:rsidRPr="005B62E5">
              <w:rPr>
                <w:rStyle w:val="SectionChapterChar"/>
                <w:b/>
                <w:sz w:val="16"/>
                <w:szCs w:val="16"/>
              </w:rPr>
            </w:r>
            <w:r w:rsidR="00E82831" w:rsidRPr="005B62E5">
              <w:rPr>
                <w:rStyle w:val="SectionChapterChar"/>
                <w:b/>
                <w:sz w:val="16"/>
                <w:szCs w:val="16"/>
              </w:rPr>
              <w:fldChar w:fldCharType="separate"/>
            </w:r>
            <w:r w:rsidR="00FA2002">
              <w:rPr>
                <w:rStyle w:val="SectionChapterChar"/>
                <w:b/>
                <w:sz w:val="16"/>
                <w:szCs w:val="16"/>
              </w:rPr>
              <w:t>Chapter 5</w:t>
            </w:r>
            <w:r w:rsidR="00E82831" w:rsidRPr="005B62E5">
              <w:rPr>
                <w:rStyle w:val="SectionChapterChar"/>
                <w:b/>
                <w:sz w:val="16"/>
                <w:szCs w:val="16"/>
              </w:rPr>
              <w:fldChar w:fldCharType="end"/>
            </w:r>
            <w:r w:rsidRPr="005B62E5">
              <w:rPr>
                <w:rStyle w:val="apple-converted-space"/>
                <w:rFonts w:cs="Arial"/>
                <w:b/>
                <w:color w:val="000000"/>
                <w:sz w:val="16"/>
                <w:szCs w:val="16"/>
              </w:rPr>
              <w:t>)</w:t>
            </w:r>
          </w:p>
        </w:tc>
        <w:tc>
          <w:tcPr>
            <w:tcW w:w="3067" w:type="dxa"/>
            <w:tcBorders>
              <w:top w:val="dotted" w:sz="4" w:space="0" w:color="auto"/>
              <w:left w:val="nil"/>
              <w:bottom w:val="nil"/>
              <w:right w:val="nil"/>
            </w:tcBorders>
            <w:hideMark/>
          </w:tcPr>
          <w:p w14:paraId="7782D7FA" w14:textId="77777777" w:rsidR="005C77F4" w:rsidRPr="005206CA" w:rsidRDefault="005C77F4">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Period over which scheme participants must maintain the carbon stored by ERF projects.</w:t>
            </w:r>
          </w:p>
        </w:tc>
        <w:tc>
          <w:tcPr>
            <w:tcW w:w="3068" w:type="dxa"/>
            <w:tcBorders>
              <w:top w:val="dotted" w:sz="4" w:space="0" w:color="auto"/>
              <w:left w:val="nil"/>
              <w:bottom w:val="nil"/>
              <w:right w:val="nil"/>
            </w:tcBorders>
            <w:hideMark/>
          </w:tcPr>
          <w:p w14:paraId="71A495C4" w14:textId="4C4DB60D" w:rsidR="005C77F4" w:rsidRPr="005206CA" w:rsidRDefault="005C77F4">
            <w:pPr>
              <w:pStyle w:val="CCATabletext"/>
              <w:rPr>
                <w:rStyle w:val="apple-converted-space"/>
                <w:rFonts w:eastAsiaTheme="minorHAnsi" w:cs="Arial"/>
                <w:bCs/>
                <w:color w:val="000000"/>
                <w:sz w:val="16"/>
                <w:szCs w:val="16"/>
                <w:lang w:val="en-US"/>
              </w:rPr>
            </w:pPr>
            <w:r w:rsidRPr="005206CA">
              <w:rPr>
                <w:rStyle w:val="apple-converted-space"/>
                <w:rFonts w:cs="Arial"/>
                <w:color w:val="000000"/>
                <w:sz w:val="16"/>
                <w:szCs w:val="16"/>
              </w:rPr>
              <w:t xml:space="preserve">25 or 100 years for </w:t>
            </w:r>
            <w:r w:rsidR="004D5389">
              <w:rPr>
                <w:rStyle w:val="apple-converted-space"/>
                <w:rFonts w:cs="Arial"/>
                <w:color w:val="000000"/>
                <w:sz w:val="16"/>
                <w:szCs w:val="16"/>
              </w:rPr>
              <w:t>sequestration</w:t>
            </w:r>
            <w:r w:rsidRPr="005206CA">
              <w:rPr>
                <w:rStyle w:val="apple-converted-space"/>
                <w:rFonts w:cs="Arial"/>
                <w:color w:val="000000"/>
                <w:sz w:val="16"/>
                <w:szCs w:val="16"/>
              </w:rPr>
              <w:t xml:space="preserve"> projects. </w:t>
            </w:r>
          </w:p>
        </w:tc>
      </w:tr>
    </w:tbl>
    <w:p w14:paraId="2A173011" w14:textId="51277072" w:rsidR="005C77F4" w:rsidRPr="005206CA" w:rsidRDefault="005C77F4" w:rsidP="008E5983">
      <w:pPr>
        <w:pStyle w:val="Footnote"/>
      </w:pPr>
      <w:r w:rsidRPr="005206CA">
        <w:rPr>
          <w:b/>
        </w:rPr>
        <w:t>Source</w:t>
      </w:r>
      <w:r w:rsidRPr="005206CA">
        <w:t xml:space="preserve">: CFI Act; CER </w:t>
      </w:r>
      <w:r w:rsidR="00FF0CEA" w:rsidRPr="005206CA">
        <w:t>2017</w:t>
      </w:r>
      <w:r w:rsidR="00810B20" w:rsidRPr="005206CA">
        <w:t>j</w:t>
      </w:r>
      <w:r w:rsidRPr="005206CA">
        <w:t>.</w:t>
      </w:r>
    </w:p>
    <w:p w14:paraId="569BB99E" w14:textId="55C1DE8B" w:rsidR="006D0CD4" w:rsidRPr="005206CA" w:rsidRDefault="006D0CD4" w:rsidP="006D0CD4">
      <w:r w:rsidRPr="005206CA">
        <w:t xml:space="preserve">For sequestration and savanna burning emissions avoidance projects, the crediting period is longer than the maximum contract length. Scheme participants can sell </w:t>
      </w:r>
      <w:r w:rsidR="002B73FA" w:rsidRPr="005206CA">
        <w:t>ACCUs</w:t>
      </w:r>
      <w:r w:rsidRPr="005206CA">
        <w:t xml:space="preserve"> earned outside of the contract period on the secondary market (</w:t>
      </w:r>
      <w:r w:rsidR="00F610FD" w:rsidRPr="00AC7279">
        <w:rPr>
          <w:rStyle w:val="SectionChapterChar"/>
        </w:rPr>
        <w:fldChar w:fldCharType="begin"/>
      </w:r>
      <w:r w:rsidR="00F610FD" w:rsidRPr="00AC7279">
        <w:rPr>
          <w:rStyle w:val="SectionChapterChar"/>
        </w:rPr>
        <w:instrText xml:space="preserve"> REF _Ref497377801 \n \h </w:instrText>
      </w:r>
      <w:r w:rsidR="0002132E" w:rsidRPr="00AC7279">
        <w:rPr>
          <w:rStyle w:val="SectionChapterChar"/>
        </w:rPr>
        <w:instrText xml:space="preserve"> \* MERGEFORMAT </w:instrText>
      </w:r>
      <w:r w:rsidR="00F610FD" w:rsidRPr="00AC7279">
        <w:rPr>
          <w:rStyle w:val="SectionChapterChar"/>
        </w:rPr>
      </w:r>
      <w:r w:rsidR="00F610FD" w:rsidRPr="00AC7279">
        <w:rPr>
          <w:rStyle w:val="SectionChapterChar"/>
        </w:rPr>
        <w:fldChar w:fldCharType="separate"/>
      </w:r>
      <w:r w:rsidR="00FA2002">
        <w:rPr>
          <w:rStyle w:val="SectionChapterChar"/>
        </w:rPr>
        <w:t>Chapter 11</w:t>
      </w:r>
      <w:r w:rsidR="00F610FD" w:rsidRPr="00AC7279">
        <w:rPr>
          <w:rStyle w:val="SectionChapterChar"/>
        </w:rPr>
        <w:fldChar w:fldCharType="end"/>
      </w:r>
      <w:r w:rsidRPr="005206CA">
        <w:t xml:space="preserve">). </w:t>
      </w:r>
    </w:p>
    <w:p w14:paraId="2F2CBA24" w14:textId="1B7128BF" w:rsidR="006D0CD4" w:rsidRPr="005206CA" w:rsidRDefault="006D0CD4" w:rsidP="006D0CD4">
      <w:r w:rsidRPr="005206CA">
        <w:t xml:space="preserve">In submissions </w:t>
      </w:r>
      <w:r w:rsidR="004F489B" w:rsidRPr="005206CA">
        <w:t>on</w:t>
      </w:r>
      <w:r w:rsidRPr="005206CA">
        <w:t xml:space="preserve"> this </w:t>
      </w:r>
      <w:r w:rsidR="00BF569F" w:rsidRPr="005206CA">
        <w:t>r</w:t>
      </w:r>
      <w:r w:rsidRPr="005206CA">
        <w:t>eview, some stakeholders propose that crediting periods should be extended for particular methods. For example, Arnhe</w:t>
      </w:r>
      <w:r w:rsidR="00285E51" w:rsidRPr="005206CA">
        <w:t xml:space="preserve">m Land Fire Abatement </w:t>
      </w:r>
      <w:r w:rsidR="00A07DF1" w:rsidRPr="005206CA">
        <w:t xml:space="preserve">(ALFA) </w:t>
      </w:r>
      <w:r w:rsidR="00C90703" w:rsidRPr="005206CA">
        <w:t>said that ‘</w:t>
      </w:r>
      <w:r w:rsidRPr="005206CA">
        <w:t>a 25 year crediting period will not cover the entirety of the opportunity for as soon as the annual fire management ceases a project would revert bac</w:t>
      </w:r>
      <w:r w:rsidR="00C90703" w:rsidRPr="005206CA">
        <w:t>k to its baseline conditions’</w:t>
      </w:r>
      <w:r w:rsidR="004F489B" w:rsidRPr="005206CA">
        <w:t xml:space="preserve"> (p. 3)</w:t>
      </w:r>
      <w:r w:rsidR="00285E51" w:rsidRPr="005206CA">
        <w:t xml:space="preserve">. </w:t>
      </w:r>
      <w:r w:rsidRPr="005206CA">
        <w:t>ALFA also suggest that the shorter length of ERF contracts does not adequately support projects with longer crediting periods.</w:t>
      </w:r>
    </w:p>
    <w:p w14:paraId="66126535" w14:textId="2275BEFA" w:rsidR="007147ED" w:rsidRPr="005206CA" w:rsidRDefault="006D0CD4">
      <w:r w:rsidRPr="005206CA">
        <w:t xml:space="preserve">The Authority considers that restrictions on crediting periods and contract lengths should continue because of risks for delivery and additionality. </w:t>
      </w:r>
      <w:r w:rsidR="00E23393" w:rsidRPr="00AC7279">
        <w:rPr>
          <w:rStyle w:val="SectionChapterChar"/>
        </w:rPr>
        <w:t>Section</w:t>
      </w:r>
      <w:r w:rsidR="00E01EC4" w:rsidRPr="00AC7279">
        <w:rPr>
          <w:rStyle w:val="SectionChapterChar"/>
        </w:rPr>
        <w:t xml:space="preserve"> </w:t>
      </w:r>
      <w:r w:rsidR="00E01EC4" w:rsidRPr="00AC7279">
        <w:rPr>
          <w:rStyle w:val="SectionChapterChar"/>
        </w:rPr>
        <w:fldChar w:fldCharType="begin"/>
      </w:r>
      <w:r w:rsidR="00E01EC4" w:rsidRPr="00AC7279">
        <w:rPr>
          <w:rStyle w:val="SectionChapterChar"/>
        </w:rPr>
        <w:instrText xml:space="preserve"> REF _Ref497378650 \n \h </w:instrText>
      </w:r>
      <w:r w:rsidR="0002132E" w:rsidRPr="00AC7279">
        <w:rPr>
          <w:rStyle w:val="SectionChapterChar"/>
        </w:rPr>
        <w:instrText xml:space="preserve"> \* MERGEFORMAT </w:instrText>
      </w:r>
      <w:r w:rsidR="00E01EC4" w:rsidRPr="00AC7279">
        <w:rPr>
          <w:rStyle w:val="SectionChapterChar"/>
        </w:rPr>
      </w:r>
      <w:r w:rsidR="00E01EC4" w:rsidRPr="00AC7279">
        <w:rPr>
          <w:rStyle w:val="SectionChapterChar"/>
        </w:rPr>
        <w:fldChar w:fldCharType="separate"/>
      </w:r>
      <w:r w:rsidR="00FA2002">
        <w:rPr>
          <w:rStyle w:val="SectionChapterChar"/>
        </w:rPr>
        <w:t>10.4</w:t>
      </w:r>
      <w:r w:rsidR="00E01EC4" w:rsidRPr="00AC7279">
        <w:rPr>
          <w:rStyle w:val="SectionChapterChar"/>
        </w:rPr>
        <w:fldChar w:fldCharType="end"/>
      </w:r>
      <w:r w:rsidR="00E01EC4" w:rsidRPr="005206CA">
        <w:t xml:space="preserve"> </w:t>
      </w:r>
      <w:r w:rsidRPr="005206CA">
        <w:t>provides further discussion of contract lengths. The E</w:t>
      </w:r>
      <w:r w:rsidR="00A07DF1" w:rsidRPr="005206CA">
        <w:t xml:space="preserve">missions </w:t>
      </w:r>
      <w:r w:rsidRPr="005206CA">
        <w:t>R</w:t>
      </w:r>
      <w:r w:rsidR="00A07DF1" w:rsidRPr="005206CA">
        <w:t xml:space="preserve">eduction </w:t>
      </w:r>
      <w:r w:rsidRPr="005206CA">
        <w:t>A</w:t>
      </w:r>
      <w:r w:rsidR="00A07DF1" w:rsidRPr="005206CA">
        <w:t xml:space="preserve">ssurance </w:t>
      </w:r>
      <w:r w:rsidRPr="005206CA">
        <w:t>C</w:t>
      </w:r>
      <w:r w:rsidR="00A07DF1" w:rsidRPr="005206CA">
        <w:t>ommittee</w:t>
      </w:r>
      <w:r w:rsidRPr="005206CA">
        <w:t>’s role in assessing whether crediting periods should be extended is an important mechanism for ensuring that crediting periods adequately reflect wheth</w:t>
      </w:r>
      <w:r w:rsidR="00C90703" w:rsidRPr="005206CA">
        <w:t>er a method is still additional (</w:t>
      </w:r>
      <w:r w:rsidR="00C90703" w:rsidRPr="00AC7279">
        <w:rPr>
          <w:rStyle w:val="SectionChapterChar"/>
        </w:rPr>
        <w:t>S</w:t>
      </w:r>
      <w:r w:rsidR="00C66BA2" w:rsidRPr="00AC7279">
        <w:rPr>
          <w:rStyle w:val="SectionChapterChar"/>
        </w:rPr>
        <w:t>ection</w:t>
      </w:r>
      <w:r w:rsidR="00C66BA2" w:rsidRPr="005206CA">
        <w:rPr>
          <w:rStyle w:val="SectionChapterChar"/>
        </w:rPr>
        <w:t> </w:t>
      </w:r>
      <w:bookmarkStart w:id="1209" w:name="_Toc497819502"/>
      <w:bookmarkStart w:id="1210" w:name="_Toc498691570"/>
      <w:bookmarkStart w:id="1211" w:name="_Ref499040128"/>
      <w:bookmarkStart w:id="1212" w:name="_Toc499043749"/>
      <w:bookmarkStart w:id="1213" w:name="_Toc499051774"/>
      <w:r w:rsidR="00C856AE">
        <w:rPr>
          <w:rStyle w:val="SectionChapterChar"/>
        </w:rPr>
        <w:fldChar w:fldCharType="begin"/>
      </w:r>
      <w:r w:rsidR="00C856AE">
        <w:rPr>
          <w:rStyle w:val="SectionChapterChar"/>
        </w:rPr>
        <w:instrText xml:space="preserve"> REF _Ref500323413 \n \h </w:instrText>
      </w:r>
      <w:r w:rsidR="00C856AE">
        <w:rPr>
          <w:rStyle w:val="SectionChapterChar"/>
        </w:rPr>
      </w:r>
      <w:r w:rsidR="00C856AE">
        <w:rPr>
          <w:rStyle w:val="SectionChapterChar"/>
        </w:rPr>
        <w:fldChar w:fldCharType="separate"/>
      </w:r>
      <w:r w:rsidR="00FA2002">
        <w:rPr>
          <w:rStyle w:val="SectionChapterChar"/>
        </w:rPr>
        <w:t>3.7</w:t>
      </w:r>
      <w:r w:rsidR="00C856AE">
        <w:rPr>
          <w:rStyle w:val="SectionChapterChar"/>
        </w:rPr>
        <w:fldChar w:fldCharType="end"/>
      </w:r>
      <w:r w:rsidR="00C90703" w:rsidRPr="00AC7279">
        <w:rPr>
          <w:rStyle w:val="SectionChapterChar"/>
        </w:rPr>
        <w:t>)</w:t>
      </w:r>
      <w:r w:rsidRPr="00AC7279">
        <w:rPr>
          <w:rStyle w:val="SectionChapterChar"/>
        </w:rPr>
        <w:t>.</w:t>
      </w:r>
    </w:p>
    <w:p w14:paraId="79BCCCD4" w14:textId="77777777" w:rsidR="006D0CD4" w:rsidRPr="005206CA" w:rsidRDefault="008D54CD">
      <w:pPr>
        <w:pStyle w:val="Heading2"/>
      </w:pPr>
      <w:bookmarkStart w:id="1214" w:name="_Ref500244067"/>
      <w:bookmarkStart w:id="1215" w:name="_Toc500251126"/>
      <w:bookmarkStart w:id="1216" w:name="_Toc500251401"/>
      <w:bookmarkStart w:id="1217" w:name="_Toc500253998"/>
      <w:bookmarkStart w:id="1218" w:name="_Toc500401505"/>
      <w:bookmarkStart w:id="1219" w:name="_Toc500490989"/>
      <w:bookmarkStart w:id="1220" w:name="_Toc500512931"/>
      <w:bookmarkStart w:id="1221" w:name="_Toc500514186"/>
      <w:bookmarkStart w:id="1222" w:name="_Toc500516243"/>
      <w:r w:rsidRPr="005206CA">
        <w:t>Auditing</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5B0ACB1D" w14:textId="21B43B5A" w:rsidR="006D0CD4" w:rsidRPr="005206CA" w:rsidRDefault="006D0CD4" w:rsidP="006D0CD4">
      <w:r w:rsidRPr="005206CA">
        <w:t xml:space="preserve">ERF projects must satisfy audit requirements before the CER credits them with ACCUs. Audits are required to provide a reasonable level of assurance that projects meet legislative requirements (including methods) and reported emissions reductions are accurate. Audits cover a range of activities including interviews with project participants, analysis of the procedures used by the participants to </w:t>
      </w:r>
      <w:r w:rsidR="005B62E5">
        <w:t>estimate</w:t>
      </w:r>
      <w:r w:rsidRPr="005206CA">
        <w:t xml:space="preserve"> emissions reductions, and site visits (</w:t>
      </w:r>
      <w:r w:rsidRPr="005206CA">
        <w:rPr>
          <w:rStyle w:val="In-textChar"/>
        </w:rPr>
        <w:t>CER 2017c</w:t>
      </w:r>
      <w:r w:rsidRPr="005206CA">
        <w:t xml:space="preserve">). A registered and independent greenhouse and energy auditor must prepare the audit. </w:t>
      </w:r>
    </w:p>
    <w:p w14:paraId="481EF92B" w14:textId="671271DD" w:rsidR="006D0CD4" w:rsidRPr="005206CA" w:rsidRDefault="006D0CD4" w:rsidP="006D0CD4">
      <w:r w:rsidRPr="005206CA">
        <w:t>The CER has published an audit determination handbook, which describes the requirements for ERF audits and provides templates for audit reports. This guidance is updated from time to time to reflect lessons learnt from audits, and clarify the CER’s expectations and quality requirements. There are also a number of standards</w:t>
      </w:r>
      <w:r w:rsidR="008E25EF">
        <w:t>,</w:t>
      </w:r>
      <w:r w:rsidRPr="005206CA">
        <w:t xml:space="preserve"> which auditors are required to meet including the code of conduct outlined in the </w:t>
      </w:r>
      <w:r w:rsidRPr="005206CA">
        <w:rPr>
          <w:i/>
        </w:rPr>
        <w:t xml:space="preserve">National Greenhouse and Energy Reporting </w:t>
      </w:r>
      <w:r w:rsidRPr="007E0199">
        <w:rPr>
          <w:i/>
        </w:rPr>
        <w:t>Regulations</w:t>
      </w:r>
      <w:r w:rsidRPr="005206CA">
        <w:rPr>
          <w:i/>
        </w:rPr>
        <w:t xml:space="preserve"> 2008</w:t>
      </w:r>
      <w:r w:rsidRPr="005206CA">
        <w:t xml:space="preserve"> (Cth) and the Australian Auditing Standards</w:t>
      </w:r>
      <w:r w:rsidR="00F34F86" w:rsidRPr="005206CA">
        <w:t xml:space="preserve"> (</w:t>
      </w:r>
      <w:r w:rsidR="00F34F86" w:rsidRPr="00AC7279">
        <w:rPr>
          <w:rStyle w:val="In-textChar"/>
        </w:rPr>
        <w:t>AUASB n.d</w:t>
      </w:r>
      <w:r w:rsidR="00F34F86" w:rsidRPr="005206CA">
        <w:t>.)</w:t>
      </w:r>
      <w:r w:rsidRPr="005206CA">
        <w:t>. The Authority is of the view that there is sufficient guidance to assist auditors to meet the ERF’s audit requirements.</w:t>
      </w:r>
    </w:p>
    <w:p w14:paraId="6749B418" w14:textId="64D8E959" w:rsidR="006D0CD4" w:rsidRPr="005206CA" w:rsidRDefault="006D0CD4" w:rsidP="006D0CD4">
      <w:r w:rsidRPr="005206CA">
        <w:t>The CER assesses audit quality through an inspection program of registered greenhouse and energy auditors and analysis of audit reports</w:t>
      </w:r>
      <w:r w:rsidR="006336C2" w:rsidRPr="005206CA">
        <w:t xml:space="preserve"> to detect performance issues</w:t>
      </w:r>
      <w:r w:rsidRPr="005206CA">
        <w:t>.</w:t>
      </w:r>
      <w:r w:rsidR="006336C2" w:rsidRPr="005206CA">
        <w:t xml:space="preserve"> As a result of this process, one </w:t>
      </w:r>
      <w:r w:rsidRPr="005206CA">
        <w:t>auditor</w:t>
      </w:r>
      <w:r w:rsidR="006336C2" w:rsidRPr="005206CA">
        <w:t xml:space="preserve"> was </w:t>
      </w:r>
      <w:r w:rsidRPr="005206CA">
        <w:t>deregistered by the CER in accordance with the National Greenhouse and Energy Reporting</w:t>
      </w:r>
      <w:r w:rsidR="00600E40" w:rsidRPr="005206CA">
        <w:t xml:space="preserve"> </w:t>
      </w:r>
      <w:r w:rsidRPr="005206CA">
        <w:t>legislation</w:t>
      </w:r>
      <w:r w:rsidR="006336C2" w:rsidRPr="005206CA">
        <w:t xml:space="preserve"> and two others </w:t>
      </w:r>
      <w:r w:rsidRPr="005206CA">
        <w:t xml:space="preserve">deregistered voluntarily. </w:t>
      </w:r>
    </w:p>
    <w:p w14:paraId="118EF5E2" w14:textId="3D946949" w:rsidR="006D0CD4" w:rsidRPr="005206CA" w:rsidRDefault="006D0CD4" w:rsidP="006D0CD4">
      <w:r w:rsidRPr="005206CA">
        <w:t xml:space="preserve">When the CFI transitioned to the ERF, auditing requirements were streamlined and new scheme participants were no longer required to submit an audit report with every project report. Audit costs vary significantly and are impacted by a number of factors including the size and location of the project, whether the audit can be conducted remotely or requires a site visit, and the audit firm and their relationship with the scheme participant. </w:t>
      </w:r>
    </w:p>
    <w:p w14:paraId="020C7C74" w14:textId="2E2AF07F" w:rsidR="00053105" w:rsidRPr="005206CA" w:rsidRDefault="006D0CD4" w:rsidP="00E55312">
      <w:pPr>
        <w:rPr>
          <w:b/>
          <w:caps/>
          <w:color w:val="159DCE"/>
        </w:rPr>
      </w:pPr>
      <w:r w:rsidRPr="005206CA">
        <w:t>In their submissions</w:t>
      </w:r>
      <w:r w:rsidR="00C90703" w:rsidRPr="005206CA">
        <w:t xml:space="preserve"> </w:t>
      </w:r>
      <w:r w:rsidR="004F489B" w:rsidRPr="005206CA">
        <w:t>on</w:t>
      </w:r>
      <w:r w:rsidR="00C90703" w:rsidRPr="005206CA">
        <w:t xml:space="preserve"> this review</w:t>
      </w:r>
      <w:r w:rsidRPr="005206CA">
        <w:t>, Climate Friendly, a carbon service provider, and the Southern Atherton Tablelands Revegetation Alliance stated that audit costs are a barrier to participation for small-scale projects. In contras</w:t>
      </w:r>
      <w:r w:rsidR="00C90703" w:rsidRPr="005206CA">
        <w:t>t, GreenCollar considers that ‘</w:t>
      </w:r>
      <w:r w:rsidRPr="005206CA">
        <w:t>auditing arrangements in general strike the right balance between balancing compliance, integrity and potentially</w:t>
      </w:r>
      <w:r w:rsidR="00C90703" w:rsidRPr="005206CA">
        <w:t xml:space="preserve"> prohibitive transaction costs’ (</w:t>
      </w:r>
      <w:r w:rsidR="007E5547" w:rsidRPr="005206CA">
        <w:t>submission on</w:t>
      </w:r>
      <w:r w:rsidR="00C90703" w:rsidRPr="005206CA">
        <w:t xml:space="preserve"> this review, p</w:t>
      </w:r>
      <w:r w:rsidR="004F489B" w:rsidRPr="005206CA">
        <w:t xml:space="preserve">. </w:t>
      </w:r>
      <w:r w:rsidR="00C90703" w:rsidRPr="005206CA">
        <w:t>9).</w:t>
      </w:r>
      <w:r w:rsidRPr="005206CA">
        <w:t xml:space="preserve"> Further, </w:t>
      </w:r>
      <w:r w:rsidR="00A07DF1" w:rsidRPr="005206CA">
        <w:t>ALFA</w:t>
      </w:r>
      <w:r w:rsidR="00C90703" w:rsidRPr="005206CA">
        <w:t xml:space="preserve"> said that ‘</w:t>
      </w:r>
      <w:r w:rsidRPr="005206CA">
        <w:t>the introduction of audit schedules over the life of a crediting period has helped</w:t>
      </w:r>
      <w:r w:rsidR="00C90703" w:rsidRPr="005206CA">
        <w:t xml:space="preserve"> to address [transaction] costs’ (</w:t>
      </w:r>
      <w:r w:rsidR="007E5547" w:rsidRPr="005206CA">
        <w:t>submission on</w:t>
      </w:r>
      <w:r w:rsidR="00C90703" w:rsidRPr="005206CA">
        <w:t xml:space="preserve"> this review, p</w:t>
      </w:r>
      <w:r w:rsidR="004F489B" w:rsidRPr="005206CA">
        <w:t xml:space="preserve">. </w:t>
      </w:r>
      <w:r w:rsidR="00C90703" w:rsidRPr="005206CA">
        <w:t>7)</w:t>
      </w:r>
      <w:r w:rsidRPr="005206CA">
        <w:t xml:space="preserve">, presumably compared to the more onerous CFI auditing requirements. Overall, in the absence of evidence to the contrary, the Authority considers that ERF audit arrangements are fit for purpose and proposes no further streamlining changes be made. </w:t>
      </w:r>
      <w:bookmarkStart w:id="1223" w:name="_Toc497819503"/>
      <w:bookmarkStart w:id="1224" w:name="_Toc498691571"/>
    </w:p>
    <w:p w14:paraId="340F1927" w14:textId="77777777" w:rsidR="006D0CD4" w:rsidRPr="005206CA" w:rsidRDefault="008D54CD">
      <w:pPr>
        <w:pStyle w:val="Heading2"/>
      </w:pPr>
      <w:bookmarkStart w:id="1225" w:name="_Toc499043750"/>
      <w:bookmarkStart w:id="1226" w:name="_Toc499051775"/>
      <w:bookmarkStart w:id="1227" w:name="_Toc500251127"/>
      <w:bookmarkStart w:id="1228" w:name="_Toc500251402"/>
      <w:bookmarkStart w:id="1229" w:name="_Toc500253999"/>
      <w:bookmarkStart w:id="1230" w:name="_Toc500401506"/>
      <w:bookmarkStart w:id="1231" w:name="_Toc500490990"/>
      <w:bookmarkStart w:id="1232" w:name="_Toc500512932"/>
      <w:bookmarkStart w:id="1233" w:name="_Toc500514187"/>
      <w:bookmarkStart w:id="1234" w:name="_Toc500516244"/>
      <w:r w:rsidRPr="005206CA">
        <w:t>Decision making powers</w:t>
      </w:r>
      <w:bookmarkEnd w:id="1223"/>
      <w:bookmarkEnd w:id="1224"/>
      <w:bookmarkEnd w:id="1225"/>
      <w:bookmarkEnd w:id="1226"/>
      <w:bookmarkEnd w:id="1227"/>
      <w:bookmarkEnd w:id="1228"/>
      <w:bookmarkEnd w:id="1229"/>
      <w:bookmarkEnd w:id="1230"/>
      <w:bookmarkEnd w:id="1231"/>
      <w:bookmarkEnd w:id="1232"/>
      <w:bookmarkEnd w:id="1233"/>
      <w:bookmarkEnd w:id="1234"/>
    </w:p>
    <w:p w14:paraId="7078150B" w14:textId="2CB407AE" w:rsidR="006336C2" w:rsidRPr="005206CA" w:rsidRDefault="006D0CD4" w:rsidP="006D0CD4">
      <w:r w:rsidRPr="005206CA">
        <w:t xml:space="preserve">In some cases the CER relies on specific information from </w:t>
      </w:r>
      <w:r w:rsidR="002B7B1D">
        <w:t xml:space="preserve">scheme </w:t>
      </w:r>
      <w:r w:rsidR="007E5547" w:rsidRPr="005206CA">
        <w:t>participants</w:t>
      </w:r>
      <w:r w:rsidRPr="005206CA">
        <w:t xml:space="preserve"> to make decisions such as removing a project’s conditional registration so that the project can report emissions and receive ACCUs.</w:t>
      </w:r>
    </w:p>
    <w:p w14:paraId="5F54F149" w14:textId="707CEE92" w:rsidR="006D0CD4" w:rsidRPr="005206CA" w:rsidRDefault="006D0CD4" w:rsidP="006D0CD4">
      <w:r w:rsidRPr="005206CA">
        <w:t xml:space="preserve">If that information later proves to be </w:t>
      </w:r>
      <w:r w:rsidR="00DA755E" w:rsidRPr="005206CA">
        <w:t xml:space="preserve">false or misleading, </w:t>
      </w:r>
      <w:r w:rsidRPr="005206CA">
        <w:t>the CER does not have</w:t>
      </w:r>
      <w:r w:rsidR="00DA755E" w:rsidRPr="005206CA">
        <w:t xml:space="preserve"> a clear power under the CFI Act </w:t>
      </w:r>
      <w:r w:rsidRPr="005206CA">
        <w:t xml:space="preserve">to reverse its decision and re-instate project conditions. </w:t>
      </w:r>
      <w:r w:rsidR="00DA755E" w:rsidRPr="005206CA">
        <w:t>There is however a general law presumption that regulators are able to revisit and reinstate decisions where they have been made on the basis of false or misleading information.</w:t>
      </w:r>
    </w:p>
    <w:p w14:paraId="25A1F93D" w14:textId="17DC795F" w:rsidR="006336C2" w:rsidRPr="005206CA" w:rsidRDefault="006D0CD4" w:rsidP="008D54CD">
      <w:pPr>
        <w:rPr>
          <w:rFonts w:cs="Arial"/>
        </w:rPr>
      </w:pPr>
      <w:r w:rsidRPr="005206CA">
        <w:t xml:space="preserve">The Authority is of the view that the </w:t>
      </w:r>
      <w:r w:rsidR="00DA755E" w:rsidRPr="005206CA">
        <w:t xml:space="preserve">CFI legislation should be clarified to make it explicit that the </w:t>
      </w:r>
      <w:r w:rsidRPr="005206CA">
        <w:t xml:space="preserve">CER </w:t>
      </w:r>
      <w:r w:rsidR="00DA755E" w:rsidRPr="005206CA">
        <w:t xml:space="preserve">can </w:t>
      </w:r>
      <w:r w:rsidRPr="005206CA">
        <w:t xml:space="preserve">reverse decisions </w:t>
      </w:r>
      <w:r w:rsidR="00DA755E" w:rsidRPr="005206CA">
        <w:t xml:space="preserve">made on the basis of false or misleading information, </w:t>
      </w:r>
      <w:r w:rsidR="00C71113" w:rsidRPr="005206CA">
        <w:t xml:space="preserve">subject to </w:t>
      </w:r>
      <w:r w:rsidR="005B62E5">
        <w:t xml:space="preserve">any </w:t>
      </w:r>
      <w:r w:rsidR="00C71113" w:rsidRPr="005206CA">
        <w:t xml:space="preserve">administrative fairness </w:t>
      </w:r>
      <w:r w:rsidR="00B52095" w:rsidRPr="005206CA">
        <w:t xml:space="preserve">arrangements </w:t>
      </w:r>
      <w:r w:rsidR="0031388C" w:rsidRPr="005206CA">
        <w:t>that may be ne</w:t>
      </w:r>
      <w:r w:rsidR="005B62E5">
        <w:t xml:space="preserve">cessary </w:t>
      </w:r>
      <w:r w:rsidRPr="005206CA">
        <w:t xml:space="preserve">to avoid creating uncertainty across the scheme. </w:t>
      </w:r>
    </w:p>
    <w:tbl>
      <w:tblPr>
        <w:tblStyle w:val="TableGrid"/>
        <w:tblW w:w="0" w:type="auto"/>
        <w:shd w:val="clear" w:color="auto" w:fill="E6ECF2"/>
        <w:tblLook w:val="04A0" w:firstRow="1" w:lastRow="0" w:firstColumn="1" w:lastColumn="0" w:noHBand="0" w:noVBand="1"/>
      </w:tblPr>
      <w:tblGrid>
        <w:gridCol w:w="9202"/>
      </w:tblGrid>
      <w:tr w:rsidR="008D54CD" w:rsidRPr="005206CA" w14:paraId="1ABB390F" w14:textId="77777777" w:rsidTr="00E55312">
        <w:trPr>
          <w:cnfStyle w:val="100000000000" w:firstRow="1" w:lastRow="0" w:firstColumn="0" w:lastColumn="0" w:oddVBand="0" w:evenVBand="0" w:oddHBand="0" w:evenHBand="0" w:firstRowFirstColumn="0" w:firstRowLastColumn="0" w:lastRowFirstColumn="0" w:lastRowLastColumn="0"/>
          <w:trHeight w:val="1656"/>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0A6D2582" w14:textId="77777777" w:rsidR="008D54CD" w:rsidRPr="005206CA" w:rsidRDefault="008D54CD">
            <w:pPr>
              <w:rPr>
                <w:rFonts w:cs="Arial"/>
                <w:b/>
                <w:color w:val="159DCE"/>
                <w:sz w:val="18"/>
                <w:szCs w:val="18"/>
              </w:rPr>
            </w:pPr>
            <w:r w:rsidRPr="005206CA">
              <w:rPr>
                <w:rFonts w:cs="Arial"/>
                <w:b/>
                <w:color w:val="159DCE"/>
                <w:sz w:val="18"/>
                <w:szCs w:val="18"/>
              </w:rPr>
              <w:t>RECOMMENDATION</w:t>
            </w:r>
          </w:p>
          <w:p w14:paraId="18449956" w14:textId="4697460F" w:rsidR="008D54CD" w:rsidRPr="005206CA" w:rsidRDefault="008D54CD" w:rsidP="00234665">
            <w:pPr>
              <w:pStyle w:val="Caption"/>
              <w:spacing w:after="140" w:line="320" w:lineRule="exact"/>
              <w:ind w:left="851" w:hanging="851"/>
              <w:rPr>
                <w:rFonts w:cs="Arial"/>
                <w:sz w:val="18"/>
              </w:rPr>
            </w:pPr>
            <w:bookmarkStart w:id="1235" w:name="_Ref497828250"/>
            <w:bookmarkStart w:id="1236" w:name="_Toc497316907"/>
            <w:bookmarkStart w:id="1237" w:name="_Toc497827450"/>
            <w:bookmarkStart w:id="1238" w:name="_Toc497834086"/>
            <w:bookmarkStart w:id="1239" w:name="_Toc498534529"/>
            <w:bookmarkStart w:id="1240" w:name="_Toc498614724"/>
            <w:bookmarkStart w:id="1241" w:name="_Toc498691479"/>
            <w:bookmarkStart w:id="1242" w:name="_Toc499051678"/>
            <w:bookmarkStart w:id="1243" w:name="_Toc499202063"/>
            <w:bookmarkStart w:id="1244" w:name="_Toc499892347"/>
            <w:bookmarkStart w:id="1245" w:name="_Toc499898708"/>
            <w:bookmarkStart w:id="1246" w:name="_Toc499899348"/>
            <w:r w:rsidRPr="005206CA">
              <w:rPr>
                <w:rFonts w:cs="Arial"/>
                <w:sz w:val="18"/>
              </w:rPr>
              <w:t xml:space="preserve">R. </w:t>
            </w:r>
            <w:r w:rsidRPr="005206CA">
              <w:fldChar w:fldCharType="begin"/>
            </w:r>
            <w:r w:rsidRPr="005206CA">
              <w:rPr>
                <w:rFonts w:cs="Arial"/>
                <w:sz w:val="18"/>
              </w:rPr>
              <w:instrText xml:space="preserve"> SEQ R. \* ARABIC </w:instrText>
            </w:r>
            <w:r w:rsidRPr="005206CA">
              <w:fldChar w:fldCharType="separate"/>
            </w:r>
            <w:r w:rsidR="00FA2002">
              <w:rPr>
                <w:rFonts w:cs="Arial"/>
                <w:noProof/>
                <w:sz w:val="18"/>
              </w:rPr>
              <w:t>18</w:t>
            </w:r>
            <w:r w:rsidRPr="005206CA">
              <w:fldChar w:fldCharType="end"/>
            </w:r>
            <w:bookmarkEnd w:id="1235"/>
            <w:r w:rsidR="005D41E0">
              <w:t>.</w:t>
            </w:r>
            <w:r w:rsidRPr="005206CA">
              <w:rPr>
                <w:rFonts w:cs="Arial"/>
                <w:sz w:val="18"/>
              </w:rPr>
              <w:t xml:space="preserve"> </w:t>
            </w:r>
            <w:r w:rsidR="001200BE" w:rsidRPr="005206CA">
              <w:rPr>
                <w:rFonts w:cs="Arial"/>
                <w:sz w:val="18"/>
              </w:rPr>
              <w:tab/>
            </w:r>
            <w:bookmarkStart w:id="1247" w:name="_Ref500236866"/>
            <w:r w:rsidR="00597A11" w:rsidRPr="005206CA">
              <w:rPr>
                <w:rFonts w:cs="Arial"/>
                <w:sz w:val="18"/>
              </w:rPr>
              <w:t>T</w:t>
            </w:r>
            <w:r w:rsidRPr="005206CA">
              <w:rPr>
                <w:rFonts w:cs="Arial"/>
                <w:sz w:val="18"/>
              </w:rPr>
              <w:t xml:space="preserve">he </w:t>
            </w:r>
            <w:r w:rsidR="00951588" w:rsidRPr="005206CA">
              <w:rPr>
                <w:rFonts w:cs="Arial"/>
                <w:i/>
                <w:sz w:val="18"/>
              </w:rPr>
              <w:t>Carbon Credits (</w:t>
            </w:r>
            <w:r w:rsidRPr="005206CA">
              <w:rPr>
                <w:rFonts w:cs="Arial"/>
                <w:i/>
                <w:sz w:val="18"/>
              </w:rPr>
              <w:t>C</w:t>
            </w:r>
            <w:r w:rsidR="00951588" w:rsidRPr="005206CA">
              <w:rPr>
                <w:rFonts w:cs="Arial"/>
                <w:i/>
                <w:sz w:val="18"/>
              </w:rPr>
              <w:t xml:space="preserve">arbon </w:t>
            </w:r>
            <w:r w:rsidRPr="005206CA">
              <w:rPr>
                <w:rFonts w:cs="Arial"/>
                <w:i/>
                <w:sz w:val="18"/>
              </w:rPr>
              <w:t>F</w:t>
            </w:r>
            <w:r w:rsidR="00951588" w:rsidRPr="005206CA">
              <w:rPr>
                <w:rFonts w:cs="Arial"/>
                <w:i/>
                <w:sz w:val="18"/>
              </w:rPr>
              <w:t xml:space="preserve">arming </w:t>
            </w:r>
            <w:r w:rsidRPr="005206CA">
              <w:rPr>
                <w:rFonts w:cs="Arial"/>
                <w:i/>
                <w:sz w:val="18"/>
              </w:rPr>
              <w:t>I</w:t>
            </w:r>
            <w:r w:rsidR="00951588" w:rsidRPr="005206CA">
              <w:rPr>
                <w:rFonts w:cs="Arial"/>
                <w:i/>
                <w:sz w:val="18"/>
              </w:rPr>
              <w:t>nitiative)</w:t>
            </w:r>
            <w:r w:rsidRPr="005206CA">
              <w:rPr>
                <w:rFonts w:cs="Arial"/>
                <w:i/>
                <w:sz w:val="18"/>
              </w:rPr>
              <w:t xml:space="preserve"> Act </w:t>
            </w:r>
            <w:r w:rsidR="00951588" w:rsidRPr="005206CA">
              <w:rPr>
                <w:rFonts w:cs="Arial"/>
                <w:i/>
                <w:sz w:val="18"/>
              </w:rPr>
              <w:t>2011</w:t>
            </w:r>
            <w:r w:rsidR="00951588" w:rsidRPr="005206CA">
              <w:rPr>
                <w:rFonts w:cs="Arial"/>
                <w:sz w:val="18"/>
              </w:rPr>
              <w:t xml:space="preserve"> (Cth)</w:t>
            </w:r>
            <w:r w:rsidRPr="005206CA">
              <w:rPr>
                <w:rFonts w:cs="Arial"/>
                <w:sz w:val="18"/>
              </w:rPr>
              <w:t xml:space="preserve"> </w:t>
            </w:r>
            <w:r w:rsidR="00597A11" w:rsidRPr="005206CA">
              <w:rPr>
                <w:rFonts w:cs="Arial"/>
                <w:sz w:val="18"/>
              </w:rPr>
              <w:t xml:space="preserve">be amended </w:t>
            </w:r>
            <w:r w:rsidRPr="005206CA">
              <w:rPr>
                <w:rFonts w:cs="Arial"/>
                <w:sz w:val="18"/>
              </w:rPr>
              <w:t xml:space="preserve">to </w:t>
            </w:r>
            <w:r w:rsidR="00283862" w:rsidRPr="005206CA">
              <w:rPr>
                <w:rFonts w:cs="Arial"/>
                <w:sz w:val="18"/>
              </w:rPr>
              <w:t>make it explicit</w:t>
            </w:r>
            <w:r w:rsidRPr="005206CA">
              <w:rPr>
                <w:rFonts w:cs="Arial"/>
                <w:sz w:val="18"/>
              </w:rPr>
              <w:t xml:space="preserve"> that the C</w:t>
            </w:r>
            <w:r w:rsidR="00951588" w:rsidRPr="005206CA">
              <w:rPr>
                <w:rFonts w:cs="Arial"/>
                <w:sz w:val="18"/>
              </w:rPr>
              <w:t xml:space="preserve">lean </w:t>
            </w:r>
            <w:r w:rsidRPr="005206CA">
              <w:rPr>
                <w:rFonts w:cs="Arial"/>
                <w:sz w:val="18"/>
              </w:rPr>
              <w:t>E</w:t>
            </w:r>
            <w:r w:rsidR="00951588" w:rsidRPr="005206CA">
              <w:rPr>
                <w:rFonts w:cs="Arial"/>
                <w:sz w:val="18"/>
              </w:rPr>
              <w:t xml:space="preserve">nergy </w:t>
            </w:r>
            <w:r w:rsidRPr="005206CA">
              <w:rPr>
                <w:rFonts w:cs="Arial"/>
                <w:sz w:val="18"/>
              </w:rPr>
              <w:t>R</w:t>
            </w:r>
            <w:r w:rsidR="00951588" w:rsidRPr="005206CA">
              <w:rPr>
                <w:rFonts w:cs="Arial"/>
                <w:sz w:val="18"/>
              </w:rPr>
              <w:t>egulator</w:t>
            </w:r>
            <w:r w:rsidRPr="005206CA">
              <w:rPr>
                <w:rFonts w:cs="Arial"/>
                <w:sz w:val="18"/>
              </w:rPr>
              <w:t xml:space="preserve"> can reverse specific decisions in cases where the original decision was based on </w:t>
            </w:r>
            <w:r w:rsidR="00DA755E" w:rsidRPr="005206CA">
              <w:rPr>
                <w:rFonts w:cs="Arial"/>
                <w:sz w:val="18"/>
              </w:rPr>
              <w:t xml:space="preserve">false or misleading </w:t>
            </w:r>
            <w:r w:rsidRPr="005206CA">
              <w:rPr>
                <w:rFonts w:cs="Arial"/>
                <w:sz w:val="18"/>
              </w:rPr>
              <w:t>information.</w:t>
            </w:r>
            <w:bookmarkEnd w:id="1236"/>
            <w:bookmarkEnd w:id="1237"/>
            <w:bookmarkEnd w:id="1238"/>
            <w:bookmarkEnd w:id="1239"/>
            <w:bookmarkEnd w:id="1240"/>
            <w:bookmarkEnd w:id="1241"/>
            <w:bookmarkEnd w:id="1242"/>
            <w:bookmarkEnd w:id="1243"/>
            <w:bookmarkEnd w:id="1244"/>
            <w:bookmarkEnd w:id="1245"/>
            <w:bookmarkEnd w:id="1246"/>
            <w:bookmarkEnd w:id="1247"/>
          </w:p>
        </w:tc>
      </w:tr>
    </w:tbl>
    <w:p w14:paraId="1B88AC80" w14:textId="77777777" w:rsidR="006D0CD4" w:rsidRPr="005206CA" w:rsidRDefault="006D0CD4" w:rsidP="006D0CD4"/>
    <w:p w14:paraId="654E58E1" w14:textId="06E42410" w:rsidR="006D0CD4" w:rsidRPr="005206CA" w:rsidRDefault="004E65ED" w:rsidP="00B13536">
      <w:pPr>
        <w:pStyle w:val="Heading1"/>
        <w:numPr>
          <w:ilvl w:val="0"/>
          <w:numId w:val="44"/>
        </w:numPr>
      </w:pPr>
      <w:bookmarkStart w:id="1248" w:name="_Toc497819504"/>
      <w:bookmarkStart w:id="1249" w:name="_Toc498691572"/>
      <w:bookmarkStart w:id="1250" w:name="_Toc499043751"/>
      <w:bookmarkStart w:id="1251" w:name="_Toc499051776"/>
      <w:bookmarkStart w:id="1252" w:name="_Ref500245892"/>
      <w:bookmarkStart w:id="1253" w:name="_Toc500251128"/>
      <w:bookmarkStart w:id="1254" w:name="_Toc500251403"/>
      <w:bookmarkStart w:id="1255" w:name="_Toc500254000"/>
      <w:bookmarkStart w:id="1256" w:name="_Toc500401507"/>
      <w:bookmarkStart w:id="1257" w:name="_Toc500490991"/>
      <w:bookmarkStart w:id="1258" w:name="_Toc500512933"/>
      <w:bookmarkStart w:id="1259" w:name="_Toc500514188"/>
      <w:bookmarkStart w:id="1260" w:name="_Toc500516245"/>
      <w:r w:rsidRPr="005206CA">
        <w:t>Managing adverse impacts from e</w:t>
      </w:r>
      <w:r w:rsidR="00D853CD" w:rsidRPr="005206CA">
        <w:t xml:space="preserve">missions </w:t>
      </w:r>
      <w:r w:rsidRPr="005206CA">
        <w:t>r</w:t>
      </w:r>
      <w:r w:rsidR="00D853CD" w:rsidRPr="005206CA">
        <w:t xml:space="preserve">eduction </w:t>
      </w:r>
      <w:r w:rsidRPr="005206CA">
        <w:t>f</w:t>
      </w:r>
      <w:r w:rsidR="00D853CD" w:rsidRPr="005206CA">
        <w:t>und</w:t>
      </w:r>
      <w:r w:rsidRPr="005206CA">
        <w:t xml:space="preserve"> projects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09B49A4A" w14:textId="6048F867" w:rsidR="006D0CD4" w:rsidRPr="005206CA" w:rsidRDefault="006D0CD4" w:rsidP="006D0CD4">
      <w:r w:rsidRPr="005206CA">
        <w:t>The E</w:t>
      </w:r>
      <w:r w:rsidR="00D853CD" w:rsidRPr="005206CA">
        <w:t xml:space="preserve">missions </w:t>
      </w:r>
      <w:r w:rsidRPr="005206CA">
        <w:t>R</w:t>
      </w:r>
      <w:r w:rsidR="00D853CD" w:rsidRPr="005206CA">
        <w:t xml:space="preserve">eduction </w:t>
      </w:r>
      <w:r w:rsidRPr="005206CA">
        <w:t>F</w:t>
      </w:r>
      <w:r w:rsidR="00D853CD" w:rsidRPr="005206CA">
        <w:t>und (ERF)</w:t>
      </w:r>
      <w:r w:rsidRPr="005206CA">
        <w:t xml:space="preserve"> has a range of protections that seek to prevent projects from causing adverse social, economic or environmental impacts. </w:t>
      </w:r>
    </w:p>
    <w:p w14:paraId="708FC798" w14:textId="77777777" w:rsidR="006D0CD4" w:rsidRPr="005206CA" w:rsidRDefault="004E65ED">
      <w:pPr>
        <w:pStyle w:val="Heading2"/>
      </w:pPr>
      <w:bookmarkStart w:id="1261" w:name="_Toc497819505"/>
      <w:bookmarkStart w:id="1262" w:name="_Toc498691573"/>
      <w:bookmarkStart w:id="1263" w:name="_Toc499043752"/>
      <w:bookmarkStart w:id="1264" w:name="_Toc499051777"/>
      <w:bookmarkStart w:id="1265" w:name="_Toc500251129"/>
      <w:bookmarkStart w:id="1266" w:name="_Toc500251404"/>
      <w:bookmarkStart w:id="1267" w:name="_Toc500254001"/>
      <w:bookmarkStart w:id="1268" w:name="_Toc500401508"/>
      <w:bookmarkStart w:id="1269" w:name="_Toc500490992"/>
      <w:bookmarkStart w:id="1270" w:name="_Toc500512934"/>
      <w:bookmarkStart w:id="1271" w:name="_Toc500514189"/>
      <w:bookmarkStart w:id="1272" w:name="_Toc500516246"/>
      <w:r w:rsidRPr="005206CA">
        <w:t>Current protections</w:t>
      </w:r>
      <w:bookmarkEnd w:id="1261"/>
      <w:bookmarkEnd w:id="1262"/>
      <w:bookmarkEnd w:id="1263"/>
      <w:bookmarkEnd w:id="1264"/>
      <w:bookmarkEnd w:id="1265"/>
      <w:bookmarkEnd w:id="1266"/>
      <w:bookmarkEnd w:id="1267"/>
      <w:bookmarkEnd w:id="1268"/>
      <w:bookmarkEnd w:id="1269"/>
      <w:bookmarkEnd w:id="1270"/>
      <w:bookmarkEnd w:id="1271"/>
      <w:bookmarkEnd w:id="1272"/>
    </w:p>
    <w:p w14:paraId="56E913B2" w14:textId="4484FC97" w:rsidR="006D0CD4" w:rsidRPr="005206CA" w:rsidRDefault="004E65ED">
      <w:pPr>
        <w:pStyle w:val="Heading3"/>
      </w:pPr>
      <w:r w:rsidRPr="005206CA">
        <w:t>General E</w:t>
      </w:r>
      <w:r w:rsidR="00D853CD" w:rsidRPr="005206CA">
        <w:t xml:space="preserve">missions </w:t>
      </w:r>
      <w:r w:rsidRPr="005206CA">
        <w:t>R</w:t>
      </w:r>
      <w:r w:rsidR="00D853CD" w:rsidRPr="005206CA">
        <w:t xml:space="preserve">eduction </w:t>
      </w:r>
      <w:r w:rsidRPr="005206CA">
        <w:t>F</w:t>
      </w:r>
      <w:r w:rsidR="00D853CD" w:rsidRPr="005206CA">
        <w:t>und</w:t>
      </w:r>
      <w:r w:rsidRPr="005206CA">
        <w:t xml:space="preserve"> criteria</w:t>
      </w:r>
    </w:p>
    <w:p w14:paraId="46A568B5" w14:textId="10FFE363" w:rsidR="006D0CD4" w:rsidRPr="005206CA" w:rsidRDefault="006D0CD4" w:rsidP="006D0CD4">
      <w:r w:rsidRPr="005206CA">
        <w:t>When registering a sequestration or area</w:t>
      </w:r>
      <w:r w:rsidR="00036DC9" w:rsidRPr="005206CA">
        <w:t xml:space="preserve"> </w:t>
      </w:r>
      <w:r w:rsidRPr="005206CA">
        <w:t xml:space="preserve">based project, scheme participants must state whether their project is consistent with any natural resource management </w:t>
      </w:r>
      <w:r w:rsidR="00D853CD" w:rsidRPr="005206CA">
        <w:t xml:space="preserve">(NRM) </w:t>
      </w:r>
      <w:r w:rsidRPr="005206CA">
        <w:t xml:space="preserve">plan, which applies to the project area. The participant must also obtain any regulatory approvals required by state, territory or federal laws relating to land use or development, the environment or water. </w:t>
      </w:r>
    </w:p>
    <w:p w14:paraId="52AEC7D0" w14:textId="77777777" w:rsidR="006D0CD4" w:rsidRPr="005206CA" w:rsidRDefault="004E65ED">
      <w:pPr>
        <w:pStyle w:val="Heading3"/>
      </w:pPr>
      <w:r w:rsidRPr="005206CA">
        <w:t>Excluded offsets projects on the ‘negative list’</w:t>
      </w:r>
    </w:p>
    <w:p w14:paraId="16344B29" w14:textId="093C4FE1" w:rsidR="006D0CD4" w:rsidRPr="005206CA" w:rsidRDefault="006D0CD4" w:rsidP="006D0CD4">
      <w:r w:rsidRPr="005206CA">
        <w:t>ERF projects cannot be on the ‘negative list’ of excluded offsets projects. Certain activities have been ruled out or restricted in the C</w:t>
      </w:r>
      <w:r w:rsidR="00D853CD" w:rsidRPr="005206CA">
        <w:t xml:space="preserve">arbon </w:t>
      </w:r>
      <w:r w:rsidRPr="005206CA">
        <w:t>F</w:t>
      </w:r>
      <w:r w:rsidR="00D853CD" w:rsidRPr="005206CA">
        <w:t xml:space="preserve">arming </w:t>
      </w:r>
      <w:r w:rsidRPr="005206CA">
        <w:t>I</w:t>
      </w:r>
      <w:r w:rsidR="00D853CD" w:rsidRPr="005206CA">
        <w:t>nitiative</w:t>
      </w:r>
      <w:r w:rsidRPr="005206CA">
        <w:t xml:space="preserve"> </w:t>
      </w:r>
      <w:r w:rsidR="00D853CD" w:rsidRPr="005206CA">
        <w:t xml:space="preserve">(CFI) </w:t>
      </w:r>
      <w:r w:rsidR="00B91332" w:rsidRPr="007E0199">
        <w:t>Regulations</w:t>
      </w:r>
      <w:r w:rsidR="00B91332" w:rsidRPr="005206CA">
        <w:t xml:space="preserve"> </w:t>
      </w:r>
      <w:r w:rsidRPr="005206CA">
        <w:t xml:space="preserve">because they may adversely impact water availability, biodiversity conservation, employment, the local community or land access for agricultural production. </w:t>
      </w:r>
    </w:p>
    <w:p w14:paraId="74666BDF" w14:textId="13AF4593" w:rsidR="004F489B" w:rsidRPr="005206CA" w:rsidRDefault="006D0CD4" w:rsidP="006D0CD4">
      <w:r w:rsidRPr="005206CA">
        <w:t xml:space="preserve">In their </w:t>
      </w:r>
      <w:r w:rsidR="007E5547" w:rsidRPr="005206CA">
        <w:t>submission on</w:t>
      </w:r>
      <w:r w:rsidRPr="005206CA">
        <w:t xml:space="preserve"> this review, the Australian Forest Products Association stated that the negative list</w:t>
      </w:r>
      <w:r w:rsidR="008F1746" w:rsidRPr="005206CA">
        <w:t>:</w:t>
      </w:r>
    </w:p>
    <w:p w14:paraId="6F341A24" w14:textId="3583C4E3" w:rsidR="006D0CD4" w:rsidRPr="005206CA" w:rsidRDefault="006D0CD4" w:rsidP="00E55312">
      <w:pPr>
        <w:ind w:left="284"/>
      </w:pPr>
      <w:r w:rsidRPr="005206CA">
        <w:rPr>
          <w:i/>
        </w:rPr>
        <w:t>imposes unnecessary constraints that effectively exclude forestry projects from the ERF, such as the restrictions on tree planting in regions with average annual rainfall above 600 mm… The 600mm annual rainfall zone restriction effectively duplicates provisions contained in the National Water Initiative (NWI</w:t>
      </w:r>
      <w:r w:rsidR="00250193" w:rsidRPr="005206CA">
        <w:rPr>
          <w:i/>
        </w:rPr>
        <w:t>)</w:t>
      </w:r>
      <w:r w:rsidR="004F489B" w:rsidRPr="005206CA">
        <w:t xml:space="preserve"> (p. 5)</w:t>
      </w:r>
      <w:r w:rsidR="00250193" w:rsidRPr="005206CA">
        <w:t>.</w:t>
      </w:r>
    </w:p>
    <w:p w14:paraId="560A577E" w14:textId="69D11DFD" w:rsidR="006D0CD4" w:rsidRPr="005206CA" w:rsidRDefault="006D0CD4" w:rsidP="006D0CD4">
      <w:r w:rsidRPr="005206CA">
        <w:t xml:space="preserve">The Authority is of the view that </w:t>
      </w:r>
      <w:r w:rsidR="0020724E" w:rsidRPr="005206CA">
        <w:t xml:space="preserve">the restrictions on </w:t>
      </w:r>
      <w:r w:rsidRPr="005206CA">
        <w:t xml:space="preserve">forestry projects should remain on the negative list as </w:t>
      </w:r>
      <w:r w:rsidR="005B62E5">
        <w:t>such projects</w:t>
      </w:r>
      <w:r w:rsidR="005B62E5" w:rsidRPr="005206CA">
        <w:t xml:space="preserve"> </w:t>
      </w:r>
      <w:r w:rsidRPr="005206CA">
        <w:t>could impact surface or ground water availability downstream of the project or elsewhere in the catchment.</w:t>
      </w:r>
    </w:p>
    <w:p w14:paraId="65CB5FD4" w14:textId="77777777" w:rsidR="006D0CD4" w:rsidRPr="005206CA" w:rsidRDefault="004E65ED">
      <w:pPr>
        <w:pStyle w:val="Heading3"/>
      </w:pPr>
      <w:r w:rsidRPr="005206CA">
        <w:t>Method-specific criteria</w:t>
      </w:r>
    </w:p>
    <w:p w14:paraId="462826CD" w14:textId="77777777" w:rsidR="006D0CD4" w:rsidRPr="005206CA" w:rsidRDefault="006D0CD4" w:rsidP="006D0CD4">
      <w:r w:rsidRPr="005206CA">
        <w:t>The methods can also contain restrictions on activities that could adversely affect the environment or carry high work health and safety risks. For example, ERF projects using the reforestation and afforestation method must not remove native forests. The method for reducing greenhouse gas emissions in beef cattle through feeding nitrate containing supplements defines the maximum rate at which nitrates can be fed to beef cattle to avoid poisoning the cattle.</w:t>
      </w:r>
    </w:p>
    <w:p w14:paraId="6077B68F" w14:textId="1DB3947F" w:rsidR="00046263" w:rsidRPr="005206CA" w:rsidRDefault="006D0CD4">
      <w:pPr>
        <w:spacing w:after="0" w:line="240" w:lineRule="auto"/>
        <w:rPr>
          <w:b/>
          <w:caps/>
          <w:color w:val="159DCE"/>
        </w:rPr>
      </w:pPr>
      <w:r w:rsidRPr="005206CA">
        <w:t xml:space="preserve">Some stakeholders have raised concerns about adverse impacts that are not covered by any of the current ERF protections. These are outlined below. </w:t>
      </w:r>
      <w:bookmarkStart w:id="1273" w:name="_Toc497819506"/>
      <w:bookmarkStart w:id="1274" w:name="_Toc498691574"/>
      <w:bookmarkStart w:id="1275" w:name="_Toc499043753"/>
    </w:p>
    <w:p w14:paraId="03E21D9C" w14:textId="613FDF65" w:rsidR="006D0CD4" w:rsidRPr="005206CA" w:rsidRDefault="000E120E" w:rsidP="00B13536">
      <w:pPr>
        <w:pStyle w:val="Heading2"/>
      </w:pPr>
      <w:bookmarkStart w:id="1276" w:name="_Toc499051778"/>
      <w:bookmarkStart w:id="1277" w:name="_Toc500251130"/>
      <w:bookmarkStart w:id="1278" w:name="_Toc500251405"/>
      <w:bookmarkStart w:id="1279" w:name="_Toc500254002"/>
      <w:bookmarkStart w:id="1280" w:name="_Toc500401509"/>
      <w:bookmarkStart w:id="1281" w:name="_Toc500490993"/>
      <w:bookmarkStart w:id="1282" w:name="_Toc500512935"/>
      <w:bookmarkStart w:id="1283" w:name="_Toc500514190"/>
      <w:bookmarkStart w:id="1284" w:name="_Toc500516247"/>
      <w:r w:rsidRPr="005206CA">
        <w:t>Concerns</w:t>
      </w:r>
      <w:bookmarkEnd w:id="1273"/>
      <w:bookmarkEnd w:id="1274"/>
      <w:bookmarkEnd w:id="1275"/>
      <w:bookmarkEnd w:id="1276"/>
      <w:bookmarkEnd w:id="1277"/>
      <w:bookmarkEnd w:id="1278"/>
      <w:bookmarkEnd w:id="1279"/>
      <w:bookmarkEnd w:id="1280"/>
      <w:bookmarkEnd w:id="1281"/>
      <w:bookmarkEnd w:id="1282"/>
      <w:bookmarkEnd w:id="1283"/>
      <w:bookmarkEnd w:id="1284"/>
    </w:p>
    <w:p w14:paraId="1496AA43" w14:textId="77777777" w:rsidR="006D0CD4" w:rsidRPr="005206CA" w:rsidRDefault="000E120E" w:rsidP="00B13536">
      <w:pPr>
        <w:pStyle w:val="Heading3"/>
      </w:pPr>
      <w:r w:rsidRPr="005206CA">
        <w:rPr>
          <w:rStyle w:val="Heading3Char"/>
          <w:caps/>
        </w:rPr>
        <w:t>Monocultural</w:t>
      </w:r>
      <w:r w:rsidR="006D0CD4" w:rsidRPr="005206CA">
        <w:t xml:space="preserve"> </w:t>
      </w:r>
      <w:r w:rsidRPr="005206CA">
        <w:rPr>
          <w:rStyle w:val="Heading3Char"/>
          <w:caps/>
        </w:rPr>
        <w:t>plantations</w:t>
      </w:r>
    </w:p>
    <w:p w14:paraId="730E95D7" w14:textId="32A9E4A7" w:rsidR="006D0CD4" w:rsidRPr="005206CA" w:rsidRDefault="006D0CD4" w:rsidP="006D0CD4">
      <w:r w:rsidRPr="005206CA">
        <w:t xml:space="preserve">In its submission </w:t>
      </w:r>
      <w:r w:rsidR="00F42F02" w:rsidRPr="005206CA">
        <w:t xml:space="preserve">on </w:t>
      </w:r>
      <w:r w:rsidRPr="005206CA">
        <w:t xml:space="preserve">the </w:t>
      </w:r>
      <w:r w:rsidRPr="005206CA">
        <w:rPr>
          <w:i/>
        </w:rPr>
        <w:t>Action on the land</w:t>
      </w:r>
      <w:r w:rsidR="004F489B" w:rsidRPr="005206CA">
        <w:t xml:space="preserve"> </w:t>
      </w:r>
      <w:r w:rsidRPr="005206CA">
        <w:t>issues paper, The Wilderness Society (TWS) said that ERF projects should be targeted to meet landscape health outcomes and that ’monocultural plantations…should be excluded outright</w:t>
      </w:r>
      <w:r w:rsidR="004F489B" w:rsidRPr="005206CA">
        <w:t>’ (p. 10)</w:t>
      </w:r>
      <w:r w:rsidR="009D1BD5" w:rsidRPr="005206CA">
        <w:t>.</w:t>
      </w:r>
      <w:r w:rsidRPr="005206CA">
        <w:t xml:space="preserve"> TWS considers that mixed species plantations provide greater biodiversity benefits including greater structural complexity to support native fauna compared with monocultural plantations. ERF methods for new tree plantations currently allow for monocultural or single species plantings</w:t>
      </w:r>
      <w:r w:rsidR="00882289">
        <w:t>.</w:t>
      </w:r>
      <w:r w:rsidR="006714D7" w:rsidRPr="005206CA">
        <w:t xml:space="preserve"> </w:t>
      </w:r>
      <w:r w:rsidR="00882289">
        <w:t>T</w:t>
      </w:r>
      <w:r w:rsidR="006714D7" w:rsidRPr="005206CA">
        <w:t xml:space="preserve">hese projects are </w:t>
      </w:r>
      <w:r w:rsidR="00882289">
        <w:t xml:space="preserve">generally </w:t>
      </w:r>
      <w:r w:rsidR="006714D7" w:rsidRPr="005206CA">
        <w:t xml:space="preserve">subject to the negative list requirement to hold a water entitlement whereas native environmental plantings are not subject to </w:t>
      </w:r>
      <w:r w:rsidR="001A49F0">
        <w:t>this</w:t>
      </w:r>
      <w:r w:rsidR="001A49F0" w:rsidRPr="005206CA">
        <w:t xml:space="preserve"> </w:t>
      </w:r>
      <w:r w:rsidR="006714D7" w:rsidRPr="005206CA">
        <w:t>restriction in the negative list.</w:t>
      </w:r>
      <w:r w:rsidR="006B7A91" w:rsidRPr="005206CA">
        <w:t xml:space="preserve"> </w:t>
      </w:r>
      <w:r w:rsidRPr="005206CA">
        <w:t>A question arises as to whether requiring mixed species vegetation by preventing monocultures goes further than preventing an adverse outcome but rather seeks to incentivise a benefit (other than carbon) by encouraging biodiversity.</w:t>
      </w:r>
    </w:p>
    <w:p w14:paraId="11976094" w14:textId="77777777" w:rsidR="006D0CD4" w:rsidRPr="005206CA" w:rsidRDefault="006D0CD4" w:rsidP="006D0CD4">
      <w:r w:rsidRPr="005206CA">
        <w:t xml:space="preserve">The Authority is mindful that the primary goal of the ERF is to reduce emissions at low cost. The Authority is examining how the ERF could be used in combination with other measures to generate multiple benefits including enhanced biodiversity in its </w:t>
      </w:r>
      <w:r w:rsidRPr="005206CA">
        <w:rPr>
          <w:i/>
        </w:rPr>
        <w:t xml:space="preserve">Action on the Land </w:t>
      </w:r>
      <w:r w:rsidRPr="005206CA">
        <w:t xml:space="preserve">research paper, which will be completed in early 2018. </w:t>
      </w:r>
    </w:p>
    <w:p w14:paraId="7760D0D3" w14:textId="77777777" w:rsidR="006D0CD4" w:rsidRPr="005206CA" w:rsidRDefault="000E120E">
      <w:pPr>
        <w:pStyle w:val="Heading3"/>
      </w:pPr>
      <w:bookmarkStart w:id="1285" w:name="_Ref500245611"/>
      <w:r w:rsidRPr="005206CA">
        <w:t>Weed management and invasive native scrub</w:t>
      </w:r>
      <w:bookmarkEnd w:id="1285"/>
    </w:p>
    <w:p w14:paraId="58381E4B" w14:textId="3AB5AF7D" w:rsidR="006D0CD4" w:rsidRPr="005206CA" w:rsidRDefault="006D0CD4" w:rsidP="006D0CD4">
      <w:r w:rsidRPr="005206CA">
        <w:t xml:space="preserve">The ‘negative list’ prevents projects </w:t>
      </w:r>
      <w:r w:rsidR="008F1746" w:rsidRPr="005206CA">
        <w:t>that</w:t>
      </w:r>
      <w:r w:rsidRPr="005206CA">
        <w:t xml:space="preserve"> plant a known weed species from participating in the ERF. Known weed species are identified by the state and federal governments in lists such as the Weeds of National Significance list </w:t>
      </w:r>
      <w:r w:rsidR="008440FE" w:rsidRPr="005206CA">
        <w:t>(</w:t>
      </w:r>
      <w:r w:rsidR="008440FE" w:rsidRPr="00AC7279">
        <w:rPr>
          <w:rStyle w:val="In-textChar"/>
        </w:rPr>
        <w:t>DoE n.d.)</w:t>
      </w:r>
      <w:r w:rsidR="008440FE" w:rsidRPr="007E0199">
        <w:t xml:space="preserve"> </w:t>
      </w:r>
      <w:r w:rsidRPr="005206CA">
        <w:t xml:space="preserve">or legislation such as the </w:t>
      </w:r>
      <w:r w:rsidRPr="005206CA">
        <w:rPr>
          <w:i/>
        </w:rPr>
        <w:t>Pest Plants and Animals Act 2005</w:t>
      </w:r>
      <w:r w:rsidRPr="005206CA">
        <w:t xml:space="preserve"> (</w:t>
      </w:r>
      <w:r w:rsidRPr="005206CA">
        <w:rPr>
          <w:rStyle w:val="In-textChar"/>
        </w:rPr>
        <w:t>ACT</w:t>
      </w:r>
      <w:r w:rsidRPr="005206CA">
        <w:t xml:space="preserve">). </w:t>
      </w:r>
    </w:p>
    <w:p w14:paraId="7BEF15F5" w14:textId="0F17FB78" w:rsidR="006D0CD4" w:rsidRPr="005206CA" w:rsidRDefault="006D0CD4" w:rsidP="006D0CD4">
      <w:r w:rsidRPr="005206CA">
        <w:t>Some stakeholders have raised concerns about the potential for adverse impacts from the number of vegetation projects in the Cobar Peneplain and Mulga Lands of south-west Queensland and western New South Wales. Some of these projects could be encouraging the spread of invasive native scrub, which has negative impacts on farm productivity and biodiversity</w:t>
      </w:r>
      <w:r w:rsidR="00A3151B" w:rsidRPr="005206CA">
        <w:t xml:space="preserve"> (</w:t>
      </w:r>
      <w:r w:rsidR="00A3151B" w:rsidRPr="005206CA">
        <w:rPr>
          <w:rStyle w:val="In-textChar"/>
        </w:rPr>
        <w:t>Waters et al</w:t>
      </w:r>
      <w:r w:rsidR="0084443D" w:rsidRPr="005206CA">
        <w:rPr>
          <w:rStyle w:val="In-textChar"/>
        </w:rPr>
        <w:t>.</w:t>
      </w:r>
      <w:r w:rsidR="00A3151B" w:rsidRPr="005206CA">
        <w:rPr>
          <w:rStyle w:val="In-textChar"/>
        </w:rPr>
        <w:t xml:space="preserve"> </w:t>
      </w:r>
      <w:r w:rsidR="0084443D" w:rsidRPr="005206CA">
        <w:rPr>
          <w:rStyle w:val="In-textChar"/>
        </w:rPr>
        <w:t>2017</w:t>
      </w:r>
      <w:r w:rsidR="00A3151B" w:rsidRPr="005206CA">
        <w:t>)</w:t>
      </w:r>
      <w:r w:rsidRPr="005206CA">
        <w:t>. Some of these invasive native scrub species are not categorised as weed species. However, the nature and extent of adverse impacts</w:t>
      </w:r>
      <w:r w:rsidR="005B62E5">
        <w:t xml:space="preserve"> from this native scrub</w:t>
      </w:r>
      <w:r w:rsidRPr="005206CA">
        <w:t xml:space="preserve"> is still unclear and are likely to vary across individual projects, depending on how they are managed. The Authority is of the view that the Department </w:t>
      </w:r>
      <w:r w:rsidR="00D853CD" w:rsidRPr="005206CA">
        <w:t xml:space="preserve">of the Environment and Energy </w:t>
      </w:r>
      <w:r w:rsidRPr="005206CA">
        <w:t>should investigate these issues</w:t>
      </w:r>
      <w:r w:rsidR="00493A5C" w:rsidRPr="005206CA">
        <w:t xml:space="preserve"> further</w:t>
      </w:r>
      <w:r w:rsidRPr="005206CA">
        <w:t xml:space="preserve">. </w:t>
      </w:r>
    </w:p>
    <w:p w14:paraId="1E2A5BBB" w14:textId="2A32DE4C" w:rsidR="006D0CD4" w:rsidRPr="005206CA" w:rsidRDefault="000E120E">
      <w:pPr>
        <w:pStyle w:val="Heading3"/>
      </w:pPr>
      <w:r w:rsidRPr="005206CA">
        <w:t>Consistency with natural resource management plans</w:t>
      </w:r>
    </w:p>
    <w:p w14:paraId="5A0DD4FF" w14:textId="6F538A44" w:rsidR="006D0CD4" w:rsidRPr="005206CA" w:rsidRDefault="006D0CD4" w:rsidP="006D0CD4">
      <w:r w:rsidRPr="005206CA">
        <w:t xml:space="preserve">The ERF also seeks to prevent projects from causing adverse environmental impacts by requiring scheme participants to state whether their project is consistent with any NRM plan </w:t>
      </w:r>
      <w:r w:rsidR="008F1746" w:rsidRPr="005206CA">
        <w:t>that</w:t>
      </w:r>
      <w:r w:rsidRPr="005206CA">
        <w:t xml:space="preserve"> applies to the project area when registering a sequestration or area</w:t>
      </w:r>
      <w:r w:rsidR="00036DC9" w:rsidRPr="005206CA">
        <w:t xml:space="preserve"> </w:t>
      </w:r>
      <w:r w:rsidRPr="005206CA">
        <w:t xml:space="preserve">based project. </w:t>
      </w:r>
      <w:r w:rsidR="002B7B1D">
        <w:t>Scheme p</w:t>
      </w:r>
      <w:r w:rsidRPr="005206CA">
        <w:t>articipants are also required to notify the C</w:t>
      </w:r>
      <w:r w:rsidR="00D853CD" w:rsidRPr="005206CA">
        <w:t xml:space="preserve">lean </w:t>
      </w:r>
      <w:r w:rsidRPr="005206CA">
        <w:t>E</w:t>
      </w:r>
      <w:r w:rsidR="00D853CD" w:rsidRPr="005206CA">
        <w:t xml:space="preserve">nergy </w:t>
      </w:r>
      <w:r w:rsidRPr="005206CA">
        <w:t>R</w:t>
      </w:r>
      <w:r w:rsidR="00D853CD" w:rsidRPr="005206CA">
        <w:t>egulator (CER)</w:t>
      </w:r>
      <w:r w:rsidRPr="005206CA">
        <w:t xml:space="preserve"> if their project becomes inconsistent with an NRM plan due to a change to their project</w:t>
      </w:r>
      <w:r w:rsidR="003376C4">
        <w:t>.</w:t>
      </w:r>
      <w:r w:rsidRPr="005206CA">
        <w:t xml:space="preserve"> These plans are prepared by local catchment or other NRM bodies and seek to provide guidance at the local level on the sustainable management of natural resources consistent with the achievement of a range of environmental, social and economic objectives. </w:t>
      </w:r>
    </w:p>
    <w:p w14:paraId="5FB12017" w14:textId="087F3E7F" w:rsidR="006D0CD4" w:rsidRPr="005206CA" w:rsidRDefault="006D0CD4" w:rsidP="006D0CD4">
      <w:r w:rsidRPr="005206CA">
        <w:t>Some local NRM bodies are providing landholders with advice on managing projects to avoid adverse impacts. For example, Western Local Land Services has developed guiding principles for ensuring projects are consistent with the NRM goals for the region (</w:t>
      </w:r>
      <w:r w:rsidRPr="005206CA">
        <w:rPr>
          <w:rStyle w:val="In-textChar"/>
        </w:rPr>
        <w:t>Western LLS 2016</w:t>
      </w:r>
      <w:r w:rsidR="0084443D" w:rsidRPr="005206CA">
        <w:rPr>
          <w:rStyle w:val="In-textChar"/>
        </w:rPr>
        <w:t>a</w:t>
      </w:r>
      <w:r w:rsidRPr="005206CA">
        <w:t xml:space="preserve">). These guiding principles include that the project does not reduce landscape diversity or cause damage to areas of high conservation value. </w:t>
      </w:r>
    </w:p>
    <w:p w14:paraId="2928E9F3" w14:textId="5AB72824" w:rsidR="006D0CD4" w:rsidRPr="005206CA" w:rsidRDefault="006D0CD4" w:rsidP="006D0CD4">
      <w:r w:rsidRPr="005206CA">
        <w:t>Similarly, the Victorian Department of Environment, Land, Water and Planning is conducting a trial in cooperation with Catchment Management Authorities (CMA</w:t>
      </w:r>
      <w:r w:rsidR="00D853CD" w:rsidRPr="005206CA">
        <w:t>s</w:t>
      </w:r>
      <w:r w:rsidRPr="005206CA">
        <w:t xml:space="preserve">) to enhance understanding of carbon offset opportunities which align with NRM plans (Victorian CMAs </w:t>
      </w:r>
      <w:r w:rsidR="007E5547" w:rsidRPr="005206CA">
        <w:t>submission on</w:t>
      </w:r>
      <w:r w:rsidRPr="005206CA">
        <w:t xml:space="preserve"> </w:t>
      </w:r>
      <w:r w:rsidR="00E95A0B" w:rsidRPr="005206CA">
        <w:t xml:space="preserve">the </w:t>
      </w:r>
      <w:r w:rsidRPr="005206CA">
        <w:t xml:space="preserve">2017 </w:t>
      </w:r>
      <w:r w:rsidR="00E95A0B" w:rsidRPr="005206CA">
        <w:t>r</w:t>
      </w:r>
      <w:r w:rsidRPr="005206CA">
        <w:t>eview).</w:t>
      </w:r>
    </w:p>
    <w:p w14:paraId="21A3CFB8" w14:textId="77777777" w:rsidR="006D0CD4" w:rsidRPr="005206CA" w:rsidRDefault="006D0CD4" w:rsidP="006D0CD4">
      <w:r w:rsidRPr="005206CA">
        <w:t xml:space="preserve">For the ERF, the </w:t>
      </w:r>
      <w:r w:rsidR="00C90703" w:rsidRPr="005206CA">
        <w:t>scheme participant</w:t>
      </w:r>
      <w:r w:rsidRPr="005206CA">
        <w:t xml:space="preserve"> self declares consistency with the NRM plan and may or may not contact the relevant NRM organisation to verify the claim. The CER does not investigate whether the self-declaration is accurate as there is no agreed approach to evaluating consistency with an NRM plan. Consistency with the NRM plans is not an ERF criterion for project registration. </w:t>
      </w:r>
    </w:p>
    <w:p w14:paraId="2464816A" w14:textId="18030C2E" w:rsidR="006D0CD4" w:rsidRPr="005206CA" w:rsidRDefault="006D0CD4" w:rsidP="006D0CD4">
      <w:r w:rsidRPr="005206CA">
        <w:t>To date, no projects have been registered as being inconsistent with an NRM plan</w:t>
      </w:r>
      <w:r w:rsidR="00A3151B" w:rsidRPr="005206CA">
        <w:t xml:space="preserve"> (</w:t>
      </w:r>
      <w:r w:rsidR="00A3151B" w:rsidRPr="005206CA">
        <w:rPr>
          <w:rStyle w:val="In-textChar"/>
        </w:rPr>
        <w:t xml:space="preserve">CER </w:t>
      </w:r>
      <w:r w:rsidR="00677ED0" w:rsidRPr="005206CA">
        <w:rPr>
          <w:rStyle w:val="In-textChar"/>
        </w:rPr>
        <w:t>2017</w:t>
      </w:r>
      <w:r w:rsidR="0094547E" w:rsidRPr="005206CA">
        <w:rPr>
          <w:rStyle w:val="In-textChar"/>
        </w:rPr>
        <w:t>n</w:t>
      </w:r>
      <w:r w:rsidR="00A3151B" w:rsidRPr="005206CA">
        <w:t>)</w:t>
      </w:r>
      <w:r w:rsidRPr="005206CA">
        <w:t>. However, in some circumstances, implementation of ERF project activities and NRM plan goals might diverge over time. For example, Western Land Local Services aims to achi</w:t>
      </w:r>
      <w:r w:rsidR="00C90703" w:rsidRPr="005206CA">
        <w:t>eve ‘</w:t>
      </w:r>
      <w:r w:rsidRPr="005206CA">
        <w:t>a protective gr</w:t>
      </w:r>
      <w:r w:rsidR="00C90703" w:rsidRPr="005206CA">
        <w:t>oundcover layer of 50% or above’</w:t>
      </w:r>
      <w:r w:rsidRPr="005206CA">
        <w:t xml:space="preserve"> in its region by 2020 (</w:t>
      </w:r>
      <w:r w:rsidRPr="005206CA">
        <w:rPr>
          <w:rStyle w:val="In-textChar"/>
        </w:rPr>
        <w:t xml:space="preserve">Western </w:t>
      </w:r>
      <w:r w:rsidR="00677ED0" w:rsidRPr="005206CA">
        <w:rPr>
          <w:rStyle w:val="In-textChar"/>
        </w:rPr>
        <w:t>LLS</w:t>
      </w:r>
      <w:r w:rsidRPr="005206CA">
        <w:rPr>
          <w:rStyle w:val="In-textChar"/>
        </w:rPr>
        <w:t xml:space="preserve"> 2016</w:t>
      </w:r>
      <w:r w:rsidR="00677ED0" w:rsidRPr="005206CA">
        <w:rPr>
          <w:rStyle w:val="In-textChar"/>
        </w:rPr>
        <w:t>b</w:t>
      </w:r>
      <w:r w:rsidRPr="005206CA">
        <w:t xml:space="preserve">). In some circumstances, the growth of woody species for an ERF vegetation project may reduce groundcover and be an impediment to the NRM plan goal. </w:t>
      </w:r>
    </w:p>
    <w:p w14:paraId="3EC5827E" w14:textId="78C778C5" w:rsidR="006D0CD4" w:rsidRPr="005206CA" w:rsidRDefault="006D0CD4" w:rsidP="006D0CD4">
      <w:r w:rsidRPr="005206CA">
        <w:t xml:space="preserve">In its submission on the </w:t>
      </w:r>
      <w:r w:rsidRPr="005206CA">
        <w:rPr>
          <w:i/>
        </w:rPr>
        <w:t xml:space="preserve">Action on the land </w:t>
      </w:r>
      <w:r w:rsidRPr="005206CA">
        <w:t>issues paper, NRM Regions Australia supported enhancing the role of regional NRM bodies in project development and registration to address region-specific environmental impacts of ERF projects. As the organisations responsible for developing and managing NRM plans, NRM bodies are well</w:t>
      </w:r>
      <w:r w:rsidR="00A3151B" w:rsidRPr="005206CA">
        <w:t xml:space="preserve"> </w:t>
      </w:r>
      <w:r w:rsidRPr="005206CA">
        <w:t xml:space="preserve">placed to identify potential adverse environmental impacts resulting from ERF projects in their region. </w:t>
      </w:r>
    </w:p>
    <w:p w14:paraId="3A2C0473" w14:textId="261803F1" w:rsidR="00B408E1" w:rsidRPr="005206CA" w:rsidRDefault="006D0CD4" w:rsidP="00B408E1">
      <w:pPr>
        <w:rPr>
          <w:rFonts w:cs="Arial"/>
        </w:rPr>
      </w:pPr>
      <w:r w:rsidRPr="005206CA">
        <w:t xml:space="preserve">The Authority is of the view that because projects can still proceed even if they are inconsistent with NRM plans, the requirement to declare consistency or not to the CER should be removed. Instead it should be replaced with a requirement for </w:t>
      </w:r>
      <w:r w:rsidR="007E5547" w:rsidRPr="005206CA">
        <w:t xml:space="preserve">scheme participants </w:t>
      </w:r>
      <w:r w:rsidRPr="005206CA">
        <w:t xml:space="preserve">to notify relevant NRM organisations so that those bodies are informed about projects in their areas. This could also encourage dialogue between the ERF </w:t>
      </w:r>
      <w:r w:rsidR="00A3151B" w:rsidRPr="005206CA">
        <w:t>scheme participants</w:t>
      </w:r>
      <w:r w:rsidRPr="005206CA">
        <w:t xml:space="preserve"> and the NRM bodies so that the project better meets NRM plan </w:t>
      </w:r>
      <w:r w:rsidR="00B408E1" w:rsidRPr="005206CA">
        <w:rPr>
          <w:rFonts w:cs="Arial"/>
        </w:rPr>
        <w:t xml:space="preserve">goals. </w:t>
      </w:r>
      <w:r w:rsidR="00477451" w:rsidRPr="005206CA">
        <w:rPr>
          <w:rFonts w:cs="Arial"/>
        </w:rPr>
        <w:t>It would be desirable if the NRM bodies provided ERF scheme participants with advice as to whether their proposed projects meet the NRM plan</w:t>
      </w:r>
      <w:r w:rsidR="006714D7" w:rsidRPr="005206CA">
        <w:rPr>
          <w:rFonts w:cs="Arial"/>
        </w:rPr>
        <w:t>.</w:t>
      </w:r>
    </w:p>
    <w:tbl>
      <w:tblPr>
        <w:tblStyle w:val="TableGrid"/>
        <w:tblW w:w="0" w:type="auto"/>
        <w:shd w:val="clear" w:color="auto" w:fill="E6ECF2"/>
        <w:tblLook w:val="04A0" w:firstRow="1" w:lastRow="0" w:firstColumn="1" w:lastColumn="0" w:noHBand="0" w:noVBand="1"/>
      </w:tblPr>
      <w:tblGrid>
        <w:gridCol w:w="9202"/>
      </w:tblGrid>
      <w:tr w:rsidR="00B408E1" w:rsidRPr="005206CA" w14:paraId="2A58B7D1" w14:textId="77777777" w:rsidTr="00B408E1">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45B3801A" w14:textId="77777777" w:rsidR="00B408E1" w:rsidRPr="005206CA" w:rsidRDefault="00B408E1">
            <w:pPr>
              <w:rPr>
                <w:rFonts w:cs="Arial"/>
                <w:b/>
                <w:color w:val="159DCE"/>
                <w:sz w:val="18"/>
                <w:szCs w:val="18"/>
              </w:rPr>
            </w:pPr>
            <w:r w:rsidRPr="005206CA">
              <w:rPr>
                <w:rFonts w:cs="Arial"/>
                <w:b/>
                <w:color w:val="159DCE"/>
                <w:sz w:val="18"/>
                <w:szCs w:val="18"/>
              </w:rPr>
              <w:t>RECOMMENDATION</w:t>
            </w:r>
          </w:p>
          <w:p w14:paraId="1246347F" w14:textId="2822E5F0" w:rsidR="00B408E1" w:rsidRPr="005206CA" w:rsidRDefault="00B408E1" w:rsidP="00234665">
            <w:pPr>
              <w:spacing w:after="140" w:line="320" w:lineRule="exact"/>
              <w:ind w:left="851" w:hanging="851"/>
              <w:rPr>
                <w:rFonts w:cs="Arial"/>
                <w:color w:val="414141"/>
                <w:sz w:val="18"/>
                <w:szCs w:val="18"/>
              </w:rPr>
            </w:pPr>
            <w:bookmarkStart w:id="1286" w:name="_Ref497828279"/>
            <w:bookmarkStart w:id="1287" w:name="_Toc497316908"/>
            <w:bookmarkStart w:id="1288" w:name="_Toc497827451"/>
            <w:bookmarkStart w:id="1289" w:name="_Toc497834087"/>
            <w:bookmarkStart w:id="1290" w:name="_Toc498534530"/>
            <w:bookmarkStart w:id="1291" w:name="_Toc498614725"/>
            <w:bookmarkStart w:id="1292" w:name="_Toc498691480"/>
            <w:bookmarkStart w:id="1293" w:name="_Toc499051679"/>
            <w:bookmarkStart w:id="1294" w:name="_Toc499202064"/>
            <w:bookmarkStart w:id="1295" w:name="_Toc499892348"/>
            <w:bookmarkStart w:id="1296" w:name="_Toc499898709"/>
            <w:bookmarkStart w:id="1297" w:name="_Toc499899349"/>
            <w:r w:rsidRPr="005206CA">
              <w:rPr>
                <w:rFonts w:cs="Arial"/>
                <w:sz w:val="18"/>
                <w:szCs w:val="18"/>
              </w:rPr>
              <w:t xml:space="preserve">R. </w:t>
            </w:r>
            <w:r w:rsidRPr="00AC7279">
              <w:rPr>
                <w:sz w:val="18"/>
                <w:szCs w:val="18"/>
              </w:rPr>
              <w:fldChar w:fldCharType="begin"/>
            </w:r>
            <w:r w:rsidRPr="005206CA">
              <w:rPr>
                <w:rFonts w:cs="Arial"/>
                <w:sz w:val="18"/>
                <w:szCs w:val="18"/>
              </w:rPr>
              <w:instrText xml:space="preserve"> SEQ R. \* ARABIC </w:instrText>
            </w:r>
            <w:r w:rsidRPr="00AC7279">
              <w:rPr>
                <w:sz w:val="18"/>
                <w:szCs w:val="18"/>
              </w:rPr>
              <w:fldChar w:fldCharType="separate"/>
            </w:r>
            <w:r w:rsidR="00FA2002">
              <w:rPr>
                <w:rFonts w:cs="Arial"/>
                <w:noProof/>
                <w:sz w:val="18"/>
                <w:szCs w:val="18"/>
              </w:rPr>
              <w:t>19</w:t>
            </w:r>
            <w:r w:rsidRPr="00AC7279">
              <w:rPr>
                <w:sz w:val="18"/>
                <w:szCs w:val="18"/>
              </w:rPr>
              <w:fldChar w:fldCharType="end"/>
            </w:r>
            <w:bookmarkEnd w:id="1286"/>
            <w:r w:rsidR="005D41E0">
              <w:rPr>
                <w:sz w:val="18"/>
                <w:szCs w:val="18"/>
              </w:rPr>
              <w:t>.</w:t>
            </w:r>
            <w:r w:rsidRPr="005206CA">
              <w:rPr>
                <w:rFonts w:cs="Arial"/>
                <w:sz w:val="18"/>
                <w:szCs w:val="18"/>
              </w:rPr>
              <w:t xml:space="preserve"> </w:t>
            </w:r>
            <w:r w:rsidR="001200BE" w:rsidRPr="005206CA">
              <w:rPr>
                <w:rFonts w:cs="Arial"/>
                <w:sz w:val="18"/>
                <w:szCs w:val="18"/>
              </w:rPr>
              <w:tab/>
            </w:r>
            <w:bookmarkStart w:id="1298" w:name="_Ref500236870"/>
            <w:r w:rsidRPr="005206CA">
              <w:rPr>
                <w:rFonts w:cs="Arial"/>
                <w:sz w:val="18"/>
                <w:szCs w:val="18"/>
              </w:rPr>
              <w:t xml:space="preserve">The </w:t>
            </w:r>
            <w:r w:rsidR="00951588" w:rsidRPr="005206CA">
              <w:rPr>
                <w:rFonts w:cs="Arial"/>
                <w:i/>
                <w:sz w:val="18"/>
                <w:szCs w:val="18"/>
              </w:rPr>
              <w:t>Carbon Credits (</w:t>
            </w:r>
            <w:r w:rsidR="00FD5A33" w:rsidRPr="005206CA">
              <w:rPr>
                <w:rFonts w:cs="Arial"/>
                <w:i/>
                <w:sz w:val="18"/>
                <w:szCs w:val="18"/>
              </w:rPr>
              <w:t>C</w:t>
            </w:r>
            <w:r w:rsidR="00951588" w:rsidRPr="005206CA">
              <w:rPr>
                <w:rFonts w:cs="Arial"/>
                <w:i/>
                <w:sz w:val="18"/>
                <w:szCs w:val="18"/>
              </w:rPr>
              <w:t xml:space="preserve">arbon </w:t>
            </w:r>
            <w:r w:rsidR="00FD5A33" w:rsidRPr="005206CA">
              <w:rPr>
                <w:rFonts w:cs="Arial"/>
                <w:i/>
                <w:sz w:val="18"/>
                <w:szCs w:val="18"/>
              </w:rPr>
              <w:t>F</w:t>
            </w:r>
            <w:r w:rsidR="00951588" w:rsidRPr="005206CA">
              <w:rPr>
                <w:rFonts w:cs="Arial"/>
                <w:i/>
                <w:sz w:val="18"/>
                <w:szCs w:val="18"/>
              </w:rPr>
              <w:t>arming Initiative)</w:t>
            </w:r>
            <w:r w:rsidR="00FD5A33" w:rsidRPr="005206CA">
              <w:rPr>
                <w:rFonts w:cs="Arial"/>
                <w:i/>
                <w:sz w:val="18"/>
                <w:szCs w:val="18"/>
              </w:rPr>
              <w:t xml:space="preserve"> Act</w:t>
            </w:r>
            <w:r w:rsidR="00951588" w:rsidRPr="005206CA">
              <w:rPr>
                <w:rFonts w:cs="Arial"/>
                <w:i/>
                <w:sz w:val="18"/>
                <w:szCs w:val="18"/>
              </w:rPr>
              <w:t xml:space="preserve"> 2011</w:t>
            </w:r>
            <w:r w:rsidR="00951588" w:rsidRPr="005206CA">
              <w:rPr>
                <w:rFonts w:cs="Arial"/>
                <w:sz w:val="18"/>
                <w:szCs w:val="18"/>
              </w:rPr>
              <w:t xml:space="preserve"> (Cth)</w:t>
            </w:r>
            <w:r w:rsidR="00FD5A33" w:rsidRPr="005206CA">
              <w:rPr>
                <w:rFonts w:cs="Arial"/>
                <w:sz w:val="18"/>
                <w:szCs w:val="18"/>
              </w:rPr>
              <w:t xml:space="preserve"> be amended to remove </w:t>
            </w:r>
            <w:r w:rsidRPr="005206CA">
              <w:rPr>
                <w:rFonts w:cs="Arial"/>
                <w:sz w:val="18"/>
                <w:szCs w:val="18"/>
              </w:rPr>
              <w:t xml:space="preserve">the requirement </w:t>
            </w:r>
            <w:r w:rsidR="00FD5A33" w:rsidRPr="005206CA">
              <w:rPr>
                <w:rFonts w:cs="Arial"/>
                <w:sz w:val="18"/>
                <w:szCs w:val="18"/>
              </w:rPr>
              <w:t xml:space="preserve">for scheme participants </w:t>
            </w:r>
            <w:r w:rsidRPr="005206CA">
              <w:rPr>
                <w:rFonts w:cs="Arial"/>
                <w:sz w:val="18"/>
                <w:szCs w:val="18"/>
              </w:rPr>
              <w:t>to state whether sequestration or area</w:t>
            </w:r>
            <w:r w:rsidR="00036DC9" w:rsidRPr="005206CA">
              <w:rPr>
                <w:rFonts w:cs="Arial"/>
                <w:sz w:val="18"/>
                <w:szCs w:val="18"/>
              </w:rPr>
              <w:t xml:space="preserve"> </w:t>
            </w:r>
            <w:r w:rsidRPr="005206CA">
              <w:rPr>
                <w:rFonts w:cs="Arial"/>
                <w:sz w:val="18"/>
                <w:szCs w:val="18"/>
              </w:rPr>
              <w:t xml:space="preserve">based projects are consistent with </w:t>
            </w:r>
            <w:r w:rsidR="00FD5A33" w:rsidRPr="005206CA">
              <w:rPr>
                <w:rFonts w:cs="Arial"/>
                <w:sz w:val="18"/>
                <w:szCs w:val="18"/>
              </w:rPr>
              <w:t xml:space="preserve">local Natural Resource Management </w:t>
            </w:r>
            <w:r w:rsidRPr="005206CA">
              <w:rPr>
                <w:rFonts w:cs="Arial"/>
                <w:sz w:val="18"/>
                <w:szCs w:val="18"/>
              </w:rPr>
              <w:t>plan</w:t>
            </w:r>
            <w:r w:rsidR="00FD5A33" w:rsidRPr="005206CA">
              <w:rPr>
                <w:rFonts w:cs="Arial"/>
                <w:sz w:val="18"/>
                <w:szCs w:val="18"/>
              </w:rPr>
              <w:t xml:space="preserve">s and replaced with a requirement that </w:t>
            </w:r>
            <w:r w:rsidR="00C90703" w:rsidRPr="005206CA">
              <w:rPr>
                <w:rFonts w:cs="Arial"/>
                <w:sz w:val="18"/>
                <w:szCs w:val="18"/>
              </w:rPr>
              <w:t>scheme participants</w:t>
            </w:r>
            <w:r w:rsidRPr="005206CA">
              <w:rPr>
                <w:rFonts w:cs="Arial"/>
                <w:sz w:val="18"/>
                <w:szCs w:val="18"/>
              </w:rPr>
              <w:t xml:space="preserve"> provide the C</w:t>
            </w:r>
            <w:r w:rsidR="00951588" w:rsidRPr="005206CA">
              <w:rPr>
                <w:rFonts w:cs="Arial"/>
                <w:sz w:val="18"/>
                <w:szCs w:val="18"/>
              </w:rPr>
              <w:t xml:space="preserve">lean </w:t>
            </w:r>
            <w:r w:rsidRPr="005206CA">
              <w:rPr>
                <w:rFonts w:cs="Arial"/>
                <w:sz w:val="18"/>
                <w:szCs w:val="18"/>
              </w:rPr>
              <w:t>E</w:t>
            </w:r>
            <w:r w:rsidR="00951588" w:rsidRPr="005206CA">
              <w:rPr>
                <w:rFonts w:cs="Arial"/>
                <w:sz w:val="18"/>
                <w:szCs w:val="18"/>
              </w:rPr>
              <w:t xml:space="preserve">nergy </w:t>
            </w:r>
            <w:r w:rsidRPr="005206CA">
              <w:rPr>
                <w:rFonts w:cs="Arial"/>
                <w:sz w:val="18"/>
                <w:szCs w:val="18"/>
              </w:rPr>
              <w:t>R</w:t>
            </w:r>
            <w:r w:rsidR="00951588" w:rsidRPr="005206CA">
              <w:rPr>
                <w:rFonts w:cs="Arial"/>
                <w:sz w:val="18"/>
                <w:szCs w:val="18"/>
              </w:rPr>
              <w:t>egulator</w:t>
            </w:r>
            <w:r w:rsidRPr="005206CA">
              <w:rPr>
                <w:rFonts w:cs="Arial"/>
                <w:sz w:val="18"/>
                <w:szCs w:val="18"/>
              </w:rPr>
              <w:t xml:space="preserve"> with evidence that they have advised the relevant N</w:t>
            </w:r>
            <w:r w:rsidR="00951588" w:rsidRPr="005206CA">
              <w:rPr>
                <w:rFonts w:cs="Arial"/>
                <w:sz w:val="18"/>
                <w:szCs w:val="18"/>
              </w:rPr>
              <w:t xml:space="preserve">atural </w:t>
            </w:r>
            <w:r w:rsidRPr="005206CA">
              <w:rPr>
                <w:rFonts w:cs="Arial"/>
                <w:sz w:val="18"/>
                <w:szCs w:val="18"/>
              </w:rPr>
              <w:t>R</w:t>
            </w:r>
            <w:r w:rsidR="00951588" w:rsidRPr="005206CA">
              <w:rPr>
                <w:rFonts w:cs="Arial"/>
                <w:sz w:val="18"/>
                <w:szCs w:val="18"/>
              </w:rPr>
              <w:t xml:space="preserve">esource </w:t>
            </w:r>
            <w:r w:rsidRPr="005206CA">
              <w:rPr>
                <w:rFonts w:cs="Arial"/>
                <w:sz w:val="18"/>
                <w:szCs w:val="18"/>
              </w:rPr>
              <w:t>M</w:t>
            </w:r>
            <w:r w:rsidR="00951588" w:rsidRPr="005206CA">
              <w:rPr>
                <w:rFonts w:cs="Arial"/>
                <w:sz w:val="18"/>
                <w:szCs w:val="18"/>
              </w:rPr>
              <w:t>anagement</w:t>
            </w:r>
            <w:r w:rsidRPr="005206CA">
              <w:rPr>
                <w:rFonts w:cs="Arial"/>
                <w:sz w:val="18"/>
                <w:szCs w:val="18"/>
              </w:rPr>
              <w:t xml:space="preserve"> body </w:t>
            </w:r>
            <w:r w:rsidR="00FD5A33" w:rsidRPr="005206CA">
              <w:rPr>
                <w:rFonts w:cs="Arial"/>
                <w:sz w:val="18"/>
                <w:szCs w:val="18"/>
              </w:rPr>
              <w:t>about the proposed E</w:t>
            </w:r>
            <w:r w:rsidR="00951588" w:rsidRPr="005206CA">
              <w:rPr>
                <w:rFonts w:cs="Arial"/>
                <w:sz w:val="18"/>
                <w:szCs w:val="18"/>
              </w:rPr>
              <w:t xml:space="preserve">missions </w:t>
            </w:r>
            <w:r w:rsidR="00FD5A33" w:rsidRPr="005206CA">
              <w:rPr>
                <w:rFonts w:cs="Arial"/>
                <w:sz w:val="18"/>
                <w:szCs w:val="18"/>
              </w:rPr>
              <w:t>R</w:t>
            </w:r>
            <w:r w:rsidR="00951588" w:rsidRPr="005206CA">
              <w:rPr>
                <w:rFonts w:cs="Arial"/>
                <w:sz w:val="18"/>
                <w:szCs w:val="18"/>
              </w:rPr>
              <w:t xml:space="preserve">eduction </w:t>
            </w:r>
            <w:r w:rsidR="00FD5A33" w:rsidRPr="005206CA">
              <w:rPr>
                <w:rFonts w:cs="Arial"/>
                <w:sz w:val="18"/>
                <w:szCs w:val="18"/>
              </w:rPr>
              <w:t>F</w:t>
            </w:r>
            <w:r w:rsidR="00951588" w:rsidRPr="005206CA">
              <w:rPr>
                <w:rFonts w:cs="Arial"/>
                <w:sz w:val="18"/>
                <w:szCs w:val="18"/>
              </w:rPr>
              <w:t>und</w:t>
            </w:r>
            <w:r w:rsidR="00FD5A33" w:rsidRPr="005206CA">
              <w:rPr>
                <w:rFonts w:cs="Arial"/>
                <w:sz w:val="18"/>
                <w:szCs w:val="18"/>
              </w:rPr>
              <w:t xml:space="preserve"> project</w:t>
            </w:r>
            <w:r w:rsidRPr="005206CA">
              <w:rPr>
                <w:rFonts w:cs="Arial"/>
                <w:sz w:val="18"/>
                <w:szCs w:val="18"/>
              </w:rPr>
              <w:t>.</w:t>
            </w:r>
            <w:bookmarkEnd w:id="1287"/>
            <w:bookmarkEnd w:id="1288"/>
            <w:bookmarkEnd w:id="1289"/>
            <w:bookmarkEnd w:id="1290"/>
            <w:bookmarkEnd w:id="1291"/>
            <w:bookmarkEnd w:id="1292"/>
            <w:bookmarkEnd w:id="1293"/>
            <w:bookmarkEnd w:id="1294"/>
            <w:bookmarkEnd w:id="1295"/>
            <w:bookmarkEnd w:id="1296"/>
            <w:bookmarkEnd w:id="1297"/>
            <w:bookmarkEnd w:id="1298"/>
            <w:r w:rsidRPr="005206CA">
              <w:rPr>
                <w:rFonts w:cs="Arial"/>
                <w:sz w:val="18"/>
                <w:szCs w:val="18"/>
              </w:rPr>
              <w:t xml:space="preserve"> </w:t>
            </w:r>
          </w:p>
        </w:tc>
      </w:tr>
    </w:tbl>
    <w:p w14:paraId="289091F0" w14:textId="77777777" w:rsidR="006D0CD4" w:rsidRPr="005206CA" w:rsidRDefault="006D0CD4" w:rsidP="00B408E1"/>
    <w:p w14:paraId="4D3B62D4" w14:textId="11A96451" w:rsidR="006D0CD4" w:rsidRPr="005206CA" w:rsidRDefault="0064732C" w:rsidP="00B13536">
      <w:pPr>
        <w:pStyle w:val="Heading1"/>
        <w:numPr>
          <w:ilvl w:val="0"/>
          <w:numId w:val="44"/>
        </w:numPr>
      </w:pPr>
      <w:bookmarkStart w:id="1299" w:name="_Toc498690850"/>
      <w:bookmarkStart w:id="1300" w:name="_Toc498692210"/>
      <w:bookmarkStart w:id="1301" w:name="_Ref497378764"/>
      <w:bookmarkStart w:id="1302" w:name="_Toc497819507"/>
      <w:bookmarkStart w:id="1303" w:name="_Toc498691575"/>
      <w:bookmarkStart w:id="1304" w:name="_Toc499043754"/>
      <w:bookmarkStart w:id="1305" w:name="_Toc499051779"/>
      <w:bookmarkStart w:id="1306" w:name="_Toc500251131"/>
      <w:bookmarkStart w:id="1307" w:name="_Toc500251406"/>
      <w:bookmarkStart w:id="1308" w:name="_Toc500254003"/>
      <w:bookmarkStart w:id="1309" w:name="_Toc500401510"/>
      <w:bookmarkStart w:id="1310" w:name="_Toc500490994"/>
      <w:bookmarkStart w:id="1311" w:name="_Toc500512936"/>
      <w:bookmarkStart w:id="1312" w:name="_Toc500514191"/>
      <w:bookmarkStart w:id="1313" w:name="_Toc500516248"/>
      <w:bookmarkEnd w:id="1299"/>
      <w:bookmarkEnd w:id="1300"/>
      <w:r w:rsidRPr="005206CA">
        <w:t>E</w:t>
      </w:r>
      <w:r w:rsidR="0044644B" w:rsidRPr="005206CA">
        <w:t xml:space="preserve">missions </w:t>
      </w:r>
      <w:r w:rsidRPr="005206CA">
        <w:t>R</w:t>
      </w:r>
      <w:r w:rsidR="0044644B" w:rsidRPr="005206CA">
        <w:t xml:space="preserve">eduction </w:t>
      </w:r>
      <w:r w:rsidRPr="005206CA">
        <w:t>F</w:t>
      </w:r>
      <w:r w:rsidR="0044644B" w:rsidRPr="005206CA">
        <w:t>und</w:t>
      </w:r>
      <w:r w:rsidRPr="005206CA">
        <w:t xml:space="preserve"> purchasing, contracts and delivery risks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7A4B3328" w14:textId="11949703" w:rsidR="006D0CD4" w:rsidRPr="005206CA" w:rsidRDefault="006D0CD4" w:rsidP="006D0CD4">
      <w:r w:rsidRPr="005206CA">
        <w:t xml:space="preserve">To date, </w:t>
      </w:r>
      <w:r w:rsidR="0044644B" w:rsidRPr="005206CA">
        <w:t>Emissions Reduction Fund (</w:t>
      </w:r>
      <w:r w:rsidRPr="005206CA">
        <w:t>ERF</w:t>
      </w:r>
      <w:r w:rsidR="0044644B" w:rsidRPr="005206CA">
        <w:t>)</w:t>
      </w:r>
      <w:r w:rsidRPr="005206CA">
        <w:t xml:space="preserve"> purchasing has been done by the C</w:t>
      </w:r>
      <w:r w:rsidR="0044644B" w:rsidRPr="005206CA">
        <w:t xml:space="preserve">lean </w:t>
      </w:r>
      <w:r w:rsidRPr="005206CA">
        <w:t>E</w:t>
      </w:r>
      <w:r w:rsidR="0044644B" w:rsidRPr="005206CA">
        <w:t xml:space="preserve">nergy </w:t>
      </w:r>
      <w:r w:rsidRPr="005206CA">
        <w:t>R</w:t>
      </w:r>
      <w:r w:rsidR="0044644B" w:rsidRPr="005206CA">
        <w:t>egulator (CER)</w:t>
      </w:r>
      <w:r w:rsidRPr="005206CA">
        <w:t xml:space="preserve"> through competitive auctions although other purchasing options are possible in the </w:t>
      </w:r>
      <w:r w:rsidR="0044644B" w:rsidRPr="005206CA">
        <w:t>Carbon Farming Initiative</w:t>
      </w:r>
      <w:r w:rsidR="009D1BD5" w:rsidRPr="005206CA">
        <w:t xml:space="preserve"> (CFI)</w:t>
      </w:r>
      <w:r w:rsidR="0044644B" w:rsidRPr="005206CA">
        <w:t xml:space="preserve"> </w:t>
      </w:r>
      <w:r w:rsidRPr="005206CA">
        <w:t>legislation.</w:t>
      </w:r>
    </w:p>
    <w:p w14:paraId="31F6850F" w14:textId="77777777" w:rsidR="006D0CD4" w:rsidRPr="005206CA" w:rsidRDefault="0064732C">
      <w:pPr>
        <w:pStyle w:val="Heading2"/>
      </w:pPr>
      <w:bookmarkStart w:id="1314" w:name="_Toc497819508"/>
      <w:bookmarkStart w:id="1315" w:name="_Toc498691576"/>
      <w:bookmarkStart w:id="1316" w:name="_Toc499043755"/>
      <w:bookmarkStart w:id="1317" w:name="_Toc499051780"/>
      <w:bookmarkStart w:id="1318" w:name="_Toc500251132"/>
      <w:bookmarkStart w:id="1319" w:name="_Toc500251407"/>
      <w:bookmarkStart w:id="1320" w:name="_Toc500254004"/>
      <w:bookmarkStart w:id="1321" w:name="_Toc500401511"/>
      <w:bookmarkStart w:id="1322" w:name="_Toc500490995"/>
      <w:bookmarkStart w:id="1323" w:name="_Toc500512937"/>
      <w:bookmarkStart w:id="1324" w:name="_Toc500514192"/>
      <w:bookmarkStart w:id="1325" w:name="_Toc500516249"/>
      <w:r w:rsidRPr="005206CA">
        <w:t>Purchasing principles</w:t>
      </w:r>
      <w:bookmarkEnd w:id="1314"/>
      <w:bookmarkEnd w:id="1315"/>
      <w:bookmarkEnd w:id="1316"/>
      <w:bookmarkEnd w:id="1317"/>
      <w:bookmarkEnd w:id="1318"/>
      <w:bookmarkEnd w:id="1319"/>
      <w:bookmarkEnd w:id="1320"/>
      <w:bookmarkEnd w:id="1321"/>
      <w:bookmarkEnd w:id="1322"/>
      <w:bookmarkEnd w:id="1323"/>
      <w:bookmarkEnd w:id="1324"/>
      <w:bookmarkEnd w:id="1325"/>
    </w:p>
    <w:p w14:paraId="595B7048" w14:textId="2485BA59" w:rsidR="006D0CD4" w:rsidRPr="005206CA" w:rsidRDefault="006D0CD4" w:rsidP="006D0CD4">
      <w:r w:rsidRPr="005206CA">
        <w:t xml:space="preserve">The </w:t>
      </w:r>
      <w:r w:rsidR="0044644B" w:rsidRPr="005206CA">
        <w:rPr>
          <w:i/>
        </w:rPr>
        <w:t xml:space="preserve">Carbon Credits (Carbon Farming Initiative) </w:t>
      </w:r>
      <w:r w:rsidR="008F1746" w:rsidRPr="005206CA">
        <w:rPr>
          <w:i/>
        </w:rPr>
        <w:t xml:space="preserve">Act </w:t>
      </w:r>
      <w:r w:rsidR="0044644B" w:rsidRPr="005206CA">
        <w:rPr>
          <w:i/>
        </w:rPr>
        <w:t>2011</w:t>
      </w:r>
      <w:r w:rsidR="0044644B" w:rsidRPr="005206CA">
        <w:t xml:space="preserve"> (</w:t>
      </w:r>
      <w:r w:rsidR="0044644B" w:rsidRPr="00AC7279">
        <w:rPr>
          <w:rStyle w:val="In-textChar"/>
        </w:rPr>
        <w:t>Cth</w:t>
      </w:r>
      <w:r w:rsidR="0044644B" w:rsidRPr="005206CA">
        <w:t xml:space="preserve">) </w:t>
      </w:r>
      <w:r w:rsidRPr="005206CA">
        <w:t xml:space="preserve">sets out the principles for the Government to purchase ERF abatement. These principles are: </w:t>
      </w:r>
    </w:p>
    <w:p w14:paraId="23EF6036" w14:textId="77777777" w:rsidR="006D0CD4" w:rsidRPr="005206CA" w:rsidRDefault="006D0CD4" w:rsidP="00D43DB8">
      <w:pPr>
        <w:pStyle w:val="ListBullet"/>
      </w:pPr>
      <w:r w:rsidRPr="005206CA">
        <w:t>to purchase emissions reductions at the least cost</w:t>
      </w:r>
    </w:p>
    <w:p w14:paraId="314ABA3B" w14:textId="77777777" w:rsidR="006D0CD4" w:rsidRPr="005206CA" w:rsidRDefault="006D0CD4" w:rsidP="00D43DB8">
      <w:pPr>
        <w:pStyle w:val="ListBullet"/>
      </w:pPr>
      <w:r w:rsidRPr="005206CA">
        <w:t>to maximise the volume of emissions reductions that can be purchased</w:t>
      </w:r>
    </w:p>
    <w:p w14:paraId="1AD72F45" w14:textId="77777777" w:rsidR="006D0CD4" w:rsidRPr="005206CA" w:rsidRDefault="006D0CD4" w:rsidP="00D43DB8">
      <w:pPr>
        <w:pStyle w:val="ListBullet"/>
      </w:pPr>
      <w:r w:rsidRPr="005206CA">
        <w:t>to conduct the process in a manner that ensures that administrative costs are reasonable</w:t>
      </w:r>
    </w:p>
    <w:p w14:paraId="4C3D28A2" w14:textId="77777777" w:rsidR="006D0CD4" w:rsidRPr="005206CA" w:rsidRDefault="006D0CD4" w:rsidP="00D43DB8">
      <w:pPr>
        <w:pStyle w:val="ListBullet"/>
      </w:pPr>
      <w:r w:rsidRPr="005206CA">
        <w:t>to conduct the process in a manner that ensures its integrity</w:t>
      </w:r>
    </w:p>
    <w:p w14:paraId="614C9C07" w14:textId="77777777" w:rsidR="006D0CD4" w:rsidRPr="005206CA" w:rsidRDefault="006D0CD4" w:rsidP="00D43DB8">
      <w:pPr>
        <w:pStyle w:val="ListBullet"/>
      </w:pPr>
      <w:r w:rsidRPr="005206CA">
        <w:t>to encourage competition</w:t>
      </w:r>
    </w:p>
    <w:p w14:paraId="530A95D4" w14:textId="77777777" w:rsidR="006D0CD4" w:rsidRPr="005206CA" w:rsidRDefault="006D0CD4" w:rsidP="00D43DB8">
      <w:pPr>
        <w:pStyle w:val="ListBullet"/>
      </w:pPr>
      <w:r w:rsidRPr="005206CA">
        <w:t>to provide for fair and ethical treatment of all participants in the process.</w:t>
      </w:r>
    </w:p>
    <w:p w14:paraId="5822C553" w14:textId="77777777" w:rsidR="006D0CD4" w:rsidRPr="005206CA" w:rsidRDefault="006D0CD4" w:rsidP="006D0CD4">
      <w:r w:rsidRPr="005206CA">
        <w:t>The ERF was established with the goal of purchasing emissions at lowest cost across the econ</w:t>
      </w:r>
      <w:r w:rsidR="00C90703" w:rsidRPr="005206CA">
        <w:t>omy (</w:t>
      </w:r>
      <w:r w:rsidR="00C90703" w:rsidRPr="005206CA">
        <w:rPr>
          <w:rStyle w:val="In-textChar"/>
        </w:rPr>
        <w:t>Australian Government 2014</w:t>
      </w:r>
      <w:r w:rsidR="00C90703" w:rsidRPr="005206CA">
        <w:t>)</w:t>
      </w:r>
      <w:r w:rsidRPr="005206CA">
        <w:t>.</w:t>
      </w:r>
    </w:p>
    <w:p w14:paraId="48F8DCCA" w14:textId="69D6352C" w:rsidR="006D0CD4" w:rsidRPr="005206CA" w:rsidRDefault="006D0CD4" w:rsidP="006D0CD4">
      <w:r w:rsidRPr="005206CA">
        <w:t>Some stakeholders</w:t>
      </w:r>
      <w:r w:rsidRPr="005206CA" w:rsidDel="00166A08">
        <w:t xml:space="preserve"> </w:t>
      </w:r>
      <w:r w:rsidR="00166A08">
        <w:t xml:space="preserve">support </w:t>
      </w:r>
      <w:r w:rsidRPr="005206CA">
        <w:t>changing the ERF’s purchasing principles to explicitly broaden the criteria on which the CER awards contracts at auction</w:t>
      </w:r>
      <w:r w:rsidR="00166A08">
        <w:t xml:space="preserve"> </w:t>
      </w:r>
      <w:r w:rsidR="00166A08" w:rsidRPr="005206CA">
        <w:t xml:space="preserve">to </w:t>
      </w:r>
      <w:r w:rsidR="00166A08">
        <w:t>include</w:t>
      </w:r>
      <w:r w:rsidR="00166A08" w:rsidRPr="005206CA">
        <w:t xml:space="preserve"> co-benefits such as biodiversity as well as emissions reductions</w:t>
      </w:r>
      <w:r w:rsidR="00166A08">
        <w:t xml:space="preserve"> (</w:t>
      </w:r>
      <w:r w:rsidR="00166A08" w:rsidRPr="005206CA">
        <w:t>Eastern Alliance of Greenhouse Action, Australian Forest Products Association, Victorian Catchment Management Associations and the Wentworth Group in their submissions on this review</w:t>
      </w:r>
      <w:r w:rsidR="00166A08">
        <w:t>)</w:t>
      </w:r>
      <w:r w:rsidRPr="005206CA" w:rsidDel="00166A08">
        <w:t xml:space="preserve">. </w:t>
      </w:r>
    </w:p>
    <w:p w14:paraId="0E3B10D8" w14:textId="77777777" w:rsidR="006D0CD4" w:rsidRPr="005206CA" w:rsidRDefault="006D0CD4" w:rsidP="006D0CD4">
      <w:r w:rsidRPr="005206CA">
        <w:t xml:space="preserve">A number of organisations support ‘banding’ or dedicated auctions, where projects of a similar type that offer co-benefits compete only amongst themselves rather than with the broader set of projects that would otherwise participate at auction. Stakeholders are of the view that projects in some sectors including those more likely to deliver co-benefits experience higher implementation costs than other project types and are disadvantaged at auction if the main purchasing criteria is least cost. </w:t>
      </w:r>
    </w:p>
    <w:p w14:paraId="0B01F1AF" w14:textId="55B1C39D" w:rsidR="006D0CD4" w:rsidRPr="005206CA" w:rsidRDefault="006D0CD4" w:rsidP="006D0CD4">
      <w:r w:rsidRPr="005206CA">
        <w:t xml:space="preserve">Support for sector specific auctions has also come from a broad range of stakeholders. The Australian Local Government Association </w:t>
      </w:r>
      <w:r w:rsidR="00E50D91" w:rsidRPr="005206CA">
        <w:t xml:space="preserve">(submission on </w:t>
      </w:r>
      <w:r w:rsidR="002874CD" w:rsidRPr="005206CA">
        <w:t xml:space="preserve">the </w:t>
      </w:r>
      <w:r w:rsidR="00E50D91" w:rsidRPr="005206CA">
        <w:t>2017 review)</w:t>
      </w:r>
      <w:r w:rsidRPr="005206CA">
        <w:t xml:space="preserve"> has suggested that the ERF be broken into sectors to allow smaller and non-commercial entities to participate and offer energy efficiency projects. Similar suggestions for ‘banded’ auctions were made to the 2017 review by the Australian Sustainable Built Environment Council, the Green Building Council of Australia, and the Energy Efficiency Certificate Creators Association. </w:t>
      </w:r>
    </w:p>
    <w:p w14:paraId="64A1776D" w14:textId="77777777" w:rsidR="006D0CD4" w:rsidRPr="005206CA" w:rsidRDefault="006D0CD4" w:rsidP="006D0CD4">
      <w:r w:rsidRPr="005206CA">
        <w:t>Other stakeholders have proposed instead that the ERF be accompanied by a purpose designed funding mechanism to support co-benefits.</w:t>
      </w:r>
    </w:p>
    <w:p w14:paraId="216F7AEC" w14:textId="1FAA5253" w:rsidR="006D0CD4" w:rsidRPr="005206CA" w:rsidRDefault="006D0CD4" w:rsidP="006D0CD4">
      <w:r w:rsidRPr="005206CA">
        <w:t xml:space="preserve">For example, the Kimberley Land Council said in their </w:t>
      </w:r>
      <w:r w:rsidR="007E5547" w:rsidRPr="005206CA">
        <w:t>submission on</w:t>
      </w:r>
      <w:r w:rsidRPr="005206CA">
        <w:t xml:space="preserve"> this review that a ‘dedicated purchasing mechanism for Indigenous ACCUs within the ERF [should be] established, priced to reflect the significant benefits delivered by these projects’</w:t>
      </w:r>
      <w:r w:rsidR="00E95A0B" w:rsidRPr="005206CA">
        <w:t xml:space="preserve"> (p. 3)</w:t>
      </w:r>
      <w:r w:rsidRPr="005206CA">
        <w:t xml:space="preserve">. </w:t>
      </w:r>
    </w:p>
    <w:p w14:paraId="4CCB7FE8" w14:textId="72A43CB5" w:rsidR="006D0CD4" w:rsidRPr="005206CA" w:rsidRDefault="006D0CD4" w:rsidP="006D0CD4">
      <w:r w:rsidRPr="005206CA">
        <w:t>The Authority recognises the strong interest among stakeholders in establishing incentives for projects that carry environmental or social benefits beyond emissions reductions or carbon storage. It is possible that this interest has been heightened by budgetary constraints and a perceived lack of other government programs that deliver broader environmental or social outcomes. The Authority will release further research in 2018 on ways to deliver co-benefits and emission</w:t>
      </w:r>
      <w:r w:rsidR="00C11A32" w:rsidRPr="005206CA">
        <w:t>s</w:t>
      </w:r>
      <w:r w:rsidRPr="005206CA">
        <w:t xml:space="preserve"> reductions on the land.</w:t>
      </w:r>
    </w:p>
    <w:p w14:paraId="35F6CEC2" w14:textId="11F9FADB" w:rsidR="006D0CD4" w:rsidRPr="005206CA" w:rsidRDefault="006D0CD4" w:rsidP="006D0CD4">
      <w:r w:rsidRPr="005206CA">
        <w:t xml:space="preserve">The Authority notes however that the ERF is the Government’s central policy that has been implemented to reduce emissions and help achieve Australia’s </w:t>
      </w:r>
      <w:r w:rsidR="00F542C7">
        <w:t>international emissions reductions</w:t>
      </w:r>
      <w:r w:rsidRPr="005206CA">
        <w:t xml:space="preserve"> commitments. </w:t>
      </w:r>
      <w:r w:rsidR="0005310A" w:rsidRPr="005206CA" w:rsidDel="00F07C25">
        <w:t>Th</w:t>
      </w:r>
      <w:r w:rsidR="0005310A">
        <w:t>e</w:t>
      </w:r>
      <w:r w:rsidR="0005310A" w:rsidRPr="005206CA" w:rsidDel="00F07C25">
        <w:t xml:space="preserve"> </w:t>
      </w:r>
      <w:r w:rsidRPr="005206CA" w:rsidDel="00F07C25">
        <w:t xml:space="preserve">emissions reductions task </w:t>
      </w:r>
      <w:r w:rsidR="0005310A">
        <w:t xml:space="preserve">to 2030 </w:t>
      </w:r>
      <w:r w:rsidRPr="005206CA" w:rsidDel="00F07C25">
        <w:t xml:space="preserve">remains challenging, </w:t>
      </w:r>
      <w:r w:rsidRPr="005206CA">
        <w:t xml:space="preserve">according to current </w:t>
      </w:r>
      <w:r w:rsidRPr="005206CA" w:rsidDel="00B13536">
        <w:t>g</w:t>
      </w:r>
      <w:r w:rsidRPr="005206CA">
        <w:t xml:space="preserve">overnment emissions projections </w:t>
      </w:r>
      <w:r w:rsidR="0061348E" w:rsidRPr="005206CA">
        <w:t>(</w:t>
      </w:r>
      <w:r w:rsidR="0061348E" w:rsidRPr="00AC7279">
        <w:rPr>
          <w:rStyle w:val="In-textChar"/>
        </w:rPr>
        <w:t>DoEE 2016</w:t>
      </w:r>
      <w:r w:rsidR="005836C7" w:rsidRPr="005206CA">
        <w:rPr>
          <w:rStyle w:val="In-textChar"/>
        </w:rPr>
        <w:t>a</w:t>
      </w:r>
      <w:r w:rsidR="0061348E" w:rsidRPr="005206CA">
        <w:t xml:space="preserve">) </w:t>
      </w:r>
      <w:r w:rsidRPr="005206CA">
        <w:t>and recent modelling exercises (</w:t>
      </w:r>
      <w:r w:rsidR="008F1746" w:rsidRPr="005206CA">
        <w:t>for example</w:t>
      </w:r>
      <w:r w:rsidRPr="005206CA" w:rsidDel="00F07C25">
        <w:t xml:space="preserve"> </w:t>
      </w:r>
      <w:r w:rsidRPr="005206CA">
        <w:rPr>
          <w:rStyle w:val="In-textChar"/>
        </w:rPr>
        <w:t>Finkel</w:t>
      </w:r>
      <w:r w:rsidR="008C3970" w:rsidRPr="005206CA">
        <w:rPr>
          <w:rStyle w:val="In-textChar"/>
        </w:rPr>
        <w:t xml:space="preserve"> et al.</w:t>
      </w:r>
      <w:r w:rsidRPr="005206CA">
        <w:rPr>
          <w:rStyle w:val="In-textChar"/>
        </w:rPr>
        <w:t xml:space="preserve"> 2017</w:t>
      </w:r>
      <w:r w:rsidRPr="005206CA">
        <w:t>). It is also important that tax payers’ funds deliver value for money in a transparent fashion and at present, it is not clear what decision rule the CER could use to allocate auction funds between projects in different sectors offering different co-benefits.</w:t>
      </w:r>
    </w:p>
    <w:p w14:paraId="5866BC65" w14:textId="77777777" w:rsidR="006D0CD4" w:rsidRPr="005206CA" w:rsidRDefault="006D0CD4" w:rsidP="006D0CD4">
      <w:r w:rsidRPr="005206CA">
        <w:t>The Authority is also concerned that banded auctions (where for example energy efficiency projects compete only against each other) would deliver higher costs of abatement because projects that could deliver cheaper abatement than those in the designated ‘band’ would not be eligible to compete. If multiple separate auctions are held, costs would reflect the cheapest abatement in each band rather than lowest costs overall. Multiple, separate auctions would also increase administration costs for the CER.</w:t>
      </w:r>
    </w:p>
    <w:p w14:paraId="78565950" w14:textId="3E1960C7" w:rsidR="00B160FF" w:rsidRPr="005206CA" w:rsidRDefault="006D0CD4" w:rsidP="00B160FF">
      <w:r w:rsidRPr="005206CA">
        <w:t>The Authority is of the view the ERF should remain focused on efforts to reduce emissions at the lowest possible cost and does not support banded auctions or explicit ERF payment for co</w:t>
      </w:r>
      <w:r w:rsidR="008F1746" w:rsidRPr="005206CA">
        <w:noBreakHyphen/>
      </w:r>
      <w:r w:rsidRPr="005206CA">
        <w:t>benefits.</w:t>
      </w:r>
    </w:p>
    <w:p w14:paraId="23AD3E1C" w14:textId="77777777" w:rsidR="00AA53EA" w:rsidRPr="005206CA" w:rsidRDefault="00AA53EA" w:rsidP="00B160FF">
      <w:r w:rsidRPr="005206CA">
        <w:t xml:space="preserve">The Authority is aware of proposals to change the purchasing principles to make it easier for the CER to address risks (like fire) associated with certain project types being concentrated in geographic </w:t>
      </w:r>
      <w:r w:rsidR="00A07D85" w:rsidRPr="005206CA">
        <w:t>areas</w:t>
      </w:r>
      <w:r w:rsidR="00B80468" w:rsidRPr="005206CA">
        <w:t xml:space="preserve"> when it awards contracts through the auction</w:t>
      </w:r>
      <w:r w:rsidRPr="005206CA">
        <w:t xml:space="preserve">. The Authority </w:t>
      </w:r>
      <w:r w:rsidR="00407522" w:rsidRPr="005206CA">
        <w:t xml:space="preserve">has made other recommendations to address risks like fire and considers these proposed changes would be a more direct solution to the problem and easier </w:t>
      </w:r>
      <w:r w:rsidR="006714D7" w:rsidRPr="005206CA">
        <w:t xml:space="preserve">for the CER </w:t>
      </w:r>
      <w:r w:rsidR="00407522" w:rsidRPr="005206CA">
        <w:t>to justify than amending the purchasing principles.</w:t>
      </w:r>
      <w:r w:rsidRPr="005206CA">
        <w:t xml:space="preserve"> </w:t>
      </w:r>
    </w:p>
    <w:tbl>
      <w:tblPr>
        <w:tblStyle w:val="TableGrid"/>
        <w:tblW w:w="0" w:type="auto"/>
        <w:shd w:val="clear" w:color="auto" w:fill="E6ECF2"/>
        <w:tblLook w:val="04A0" w:firstRow="1" w:lastRow="0" w:firstColumn="1" w:lastColumn="0" w:noHBand="0" w:noVBand="1"/>
      </w:tblPr>
      <w:tblGrid>
        <w:gridCol w:w="9202"/>
      </w:tblGrid>
      <w:tr w:rsidR="00B160FF" w:rsidRPr="005206CA" w14:paraId="543D842A" w14:textId="77777777" w:rsidTr="00B160FF">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48348F50" w14:textId="77777777" w:rsidR="00B160FF" w:rsidRPr="005206CA" w:rsidRDefault="00B160FF">
            <w:pPr>
              <w:rPr>
                <w:rFonts w:cs="Arial"/>
                <w:b/>
                <w:color w:val="159DCE"/>
                <w:sz w:val="18"/>
                <w:szCs w:val="18"/>
              </w:rPr>
            </w:pPr>
            <w:r w:rsidRPr="005206CA">
              <w:rPr>
                <w:rFonts w:cs="Arial"/>
                <w:b/>
                <w:color w:val="159DCE"/>
                <w:sz w:val="18"/>
                <w:szCs w:val="18"/>
              </w:rPr>
              <w:t>RECOMMENDATION</w:t>
            </w:r>
          </w:p>
          <w:p w14:paraId="236AD36B" w14:textId="02A04AF4" w:rsidR="00B160FF" w:rsidRPr="005206CA" w:rsidRDefault="00B160FF" w:rsidP="000010DB">
            <w:pPr>
              <w:ind w:left="851" w:hanging="851"/>
              <w:rPr>
                <w:rFonts w:cs="Arial"/>
                <w:color w:val="414141"/>
                <w:sz w:val="18"/>
                <w:szCs w:val="18"/>
              </w:rPr>
            </w:pPr>
            <w:bookmarkStart w:id="1326" w:name="_Ref497828286"/>
            <w:bookmarkStart w:id="1327" w:name="_Toc497316909"/>
            <w:bookmarkStart w:id="1328" w:name="_Toc497827452"/>
            <w:bookmarkStart w:id="1329" w:name="_Toc497834088"/>
            <w:bookmarkStart w:id="1330" w:name="_Toc498534531"/>
            <w:bookmarkStart w:id="1331" w:name="_Toc498614726"/>
            <w:bookmarkStart w:id="1332" w:name="_Toc498691481"/>
            <w:bookmarkStart w:id="1333" w:name="_Toc499051680"/>
            <w:bookmarkStart w:id="1334" w:name="_Toc499202065"/>
            <w:bookmarkStart w:id="1335" w:name="_Toc499892349"/>
            <w:bookmarkStart w:id="1336" w:name="_Toc499898710"/>
            <w:bookmarkStart w:id="1337" w:name="_Toc499899350"/>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20</w:t>
            </w:r>
            <w:r w:rsidRPr="005206CA">
              <w:fldChar w:fldCharType="end"/>
            </w:r>
            <w:bookmarkEnd w:id="1326"/>
            <w:r w:rsidR="005D41E0">
              <w:t>.</w:t>
            </w:r>
            <w:r w:rsidRPr="005206CA">
              <w:rPr>
                <w:rFonts w:cs="Arial"/>
                <w:sz w:val="18"/>
                <w:szCs w:val="18"/>
              </w:rPr>
              <w:t xml:space="preserve"> </w:t>
            </w:r>
            <w:r w:rsidR="001200BE" w:rsidRPr="005206CA">
              <w:rPr>
                <w:rFonts w:cs="Arial"/>
                <w:sz w:val="18"/>
                <w:szCs w:val="18"/>
              </w:rPr>
              <w:tab/>
            </w:r>
            <w:bookmarkStart w:id="1338" w:name="_Ref500236878"/>
            <w:r w:rsidR="000010DB" w:rsidRPr="005206CA">
              <w:rPr>
                <w:rFonts w:cs="Arial"/>
                <w:sz w:val="18"/>
                <w:szCs w:val="18"/>
              </w:rPr>
              <w:t>T</w:t>
            </w:r>
            <w:r w:rsidRPr="005206CA">
              <w:rPr>
                <w:rFonts w:cs="Arial"/>
                <w:sz w:val="18"/>
                <w:szCs w:val="18"/>
              </w:rPr>
              <w:t>here be no change to the purchasing principles.</w:t>
            </w:r>
            <w:bookmarkEnd w:id="1327"/>
            <w:bookmarkEnd w:id="1328"/>
            <w:bookmarkEnd w:id="1329"/>
            <w:bookmarkEnd w:id="1330"/>
            <w:bookmarkEnd w:id="1331"/>
            <w:bookmarkEnd w:id="1332"/>
            <w:bookmarkEnd w:id="1333"/>
            <w:bookmarkEnd w:id="1334"/>
            <w:bookmarkEnd w:id="1335"/>
            <w:bookmarkEnd w:id="1336"/>
            <w:bookmarkEnd w:id="1337"/>
            <w:bookmarkEnd w:id="1338"/>
          </w:p>
        </w:tc>
      </w:tr>
    </w:tbl>
    <w:p w14:paraId="282C81B2" w14:textId="77777777" w:rsidR="007E0199" w:rsidRDefault="007E0199" w:rsidP="00BF0516">
      <w:bookmarkStart w:id="1339" w:name="_Toc497819509"/>
      <w:bookmarkStart w:id="1340" w:name="_Toc498691577"/>
      <w:bookmarkStart w:id="1341" w:name="_Toc499043756"/>
      <w:bookmarkStart w:id="1342" w:name="_Toc499051781"/>
      <w:bookmarkStart w:id="1343" w:name="_Toc500251133"/>
      <w:bookmarkStart w:id="1344" w:name="_Toc500251408"/>
      <w:bookmarkStart w:id="1345" w:name="_Toc500254005"/>
    </w:p>
    <w:p w14:paraId="5704265C" w14:textId="77777777" w:rsidR="006D0CD4" w:rsidRPr="005206CA" w:rsidRDefault="00B160FF">
      <w:pPr>
        <w:pStyle w:val="Heading2"/>
      </w:pPr>
      <w:bookmarkStart w:id="1346" w:name="_Toc500401512"/>
      <w:bookmarkStart w:id="1347" w:name="_Toc500490996"/>
      <w:bookmarkStart w:id="1348" w:name="_Toc500512938"/>
      <w:bookmarkStart w:id="1349" w:name="_Toc500514193"/>
      <w:bookmarkStart w:id="1350" w:name="_Toc500516250"/>
      <w:r w:rsidRPr="005206CA">
        <w:t>Auctions</w:t>
      </w:r>
      <w:bookmarkEnd w:id="1339"/>
      <w:bookmarkEnd w:id="1340"/>
      <w:bookmarkEnd w:id="1341"/>
      <w:bookmarkEnd w:id="1342"/>
      <w:bookmarkEnd w:id="1343"/>
      <w:bookmarkEnd w:id="1344"/>
      <w:bookmarkEnd w:id="1345"/>
      <w:bookmarkEnd w:id="1346"/>
      <w:bookmarkEnd w:id="1347"/>
      <w:bookmarkEnd w:id="1348"/>
      <w:bookmarkEnd w:id="1349"/>
      <w:bookmarkEnd w:id="1350"/>
    </w:p>
    <w:p w14:paraId="55406EDD" w14:textId="77777777" w:rsidR="006D0CD4" w:rsidRPr="005206CA" w:rsidRDefault="00B160FF">
      <w:pPr>
        <w:pStyle w:val="Heading3"/>
      </w:pPr>
      <w:r w:rsidRPr="005206CA">
        <w:t>Auction process and design</w:t>
      </w:r>
    </w:p>
    <w:p w14:paraId="23E9ED27" w14:textId="03F60DF6" w:rsidR="006D0CD4" w:rsidRPr="005206CA" w:rsidRDefault="006D0CD4" w:rsidP="006D0CD4">
      <w:r w:rsidRPr="005206CA">
        <w:t xml:space="preserve">The </w:t>
      </w:r>
      <w:r w:rsidR="009D1BD5" w:rsidRPr="005206CA">
        <w:t xml:space="preserve">CFI Act </w:t>
      </w:r>
      <w:r w:rsidRPr="005206CA">
        <w:t xml:space="preserve">provides the CER with flexibility on how to purchase abatement on behalf of the Government. So far, the CER has chosen to use reverse auctions for abatement purchases, with only minor changes to the approach between auctions. </w:t>
      </w:r>
    </w:p>
    <w:p w14:paraId="603BB4FA" w14:textId="6897307D" w:rsidR="006D0CD4" w:rsidRPr="005206CA" w:rsidRDefault="006D0CD4" w:rsidP="006D0CD4">
      <w:r w:rsidRPr="005206CA">
        <w:t>In each of the six auctions conducted so far, the CER has used a single round, pay-as-bid, sealed bid reverse auction process.</w:t>
      </w:r>
      <w:r w:rsidR="00CF5656" w:rsidRPr="005206CA">
        <w:rPr>
          <w:rStyle w:val="FootnoteReference"/>
        </w:rPr>
        <w:footnoteReference w:id="10"/>
      </w:r>
      <w:r w:rsidRPr="005206CA">
        <w:t xml:space="preserve"> </w:t>
      </w:r>
      <w:r w:rsidR="002B7B1D">
        <w:t>Scheme p</w:t>
      </w:r>
      <w:r w:rsidRPr="005206CA">
        <w:t>articipants bid the volume and price of A</w:t>
      </w:r>
      <w:r w:rsidR="0044644B" w:rsidRPr="005206CA">
        <w:t xml:space="preserve">ustralian </w:t>
      </w:r>
      <w:r w:rsidRPr="005206CA">
        <w:t>C</w:t>
      </w:r>
      <w:r w:rsidR="0044644B" w:rsidRPr="005206CA">
        <w:t xml:space="preserve">arbon </w:t>
      </w:r>
      <w:r w:rsidRPr="005206CA">
        <w:t>C</w:t>
      </w:r>
      <w:r w:rsidR="0044644B" w:rsidRPr="005206CA">
        <w:t xml:space="preserve">redit </w:t>
      </w:r>
      <w:r w:rsidRPr="005206CA">
        <w:t>U</w:t>
      </w:r>
      <w:r w:rsidR="0044644B" w:rsidRPr="005206CA">
        <w:t>nit</w:t>
      </w:r>
      <w:r w:rsidRPr="005206CA">
        <w:t>s</w:t>
      </w:r>
      <w:r w:rsidR="0044644B" w:rsidRPr="005206CA">
        <w:t xml:space="preserve"> (ACCUs)</w:t>
      </w:r>
      <w:r w:rsidRPr="005206CA">
        <w:t xml:space="preserve"> they are willing to sell. The sealed bid element means that </w:t>
      </w:r>
      <w:r w:rsidR="002B7B1D">
        <w:t xml:space="preserve">scheme </w:t>
      </w:r>
      <w:r w:rsidRPr="005206CA">
        <w:t xml:space="preserve">participants have no knowledge of what others are bidding and provides an incentive for bidders to bid in at the lowest price. The pay-as-bid nature of the auction means that </w:t>
      </w:r>
      <w:r w:rsidR="002B7B1D">
        <w:t xml:space="preserve">scheme </w:t>
      </w:r>
      <w:r w:rsidRPr="005206CA">
        <w:t xml:space="preserve">participants successful at the auction receive the price they bid and the Government pays the minimum amount bidders are willing to accept, which aims to maximise value for money. The other side of the coin, however, is that </w:t>
      </w:r>
      <w:r w:rsidR="002B7B1D">
        <w:t>scheme</w:t>
      </w:r>
      <w:r w:rsidRPr="005206CA">
        <w:t xml:space="preserve"> participants receive less revenue than would be the case under other auction models. Meta Economics Consulting Group</w:t>
      </w:r>
      <w:r w:rsidR="007F1D40" w:rsidRPr="005206CA">
        <w:t xml:space="preserve"> (submission on </w:t>
      </w:r>
      <w:r w:rsidR="002874CD" w:rsidRPr="005206CA">
        <w:t xml:space="preserve">the </w:t>
      </w:r>
      <w:r w:rsidR="007F1D40" w:rsidRPr="005206CA">
        <w:t>2017 review)</w:t>
      </w:r>
      <w:r w:rsidRPr="005206CA">
        <w:t xml:space="preserve"> said that </w:t>
      </w:r>
      <w:r w:rsidR="007F1D40" w:rsidRPr="005206CA">
        <w:t>the auctioning mechanism</w:t>
      </w:r>
      <w:r w:rsidR="00B775C4" w:rsidRPr="005206CA">
        <w:t xml:space="preserve"> </w:t>
      </w:r>
      <w:r w:rsidRPr="005206CA">
        <w:t>erode</w:t>
      </w:r>
      <w:r w:rsidR="007F1D40" w:rsidRPr="005206CA">
        <w:t>s</w:t>
      </w:r>
      <w:r w:rsidRPr="005206CA">
        <w:t xml:space="preserve"> incentives to participate in the scheme</w:t>
      </w:r>
      <w:r w:rsidR="007F1D40" w:rsidRPr="005206CA">
        <w:t>. This is</w:t>
      </w:r>
      <w:r w:rsidRPr="005206CA">
        <w:t xml:space="preserve"> compared to a single price auction where all successful participants are paid the highest successful bid price. The Authority is of the view, however, that scheme participants are likely to bid in at a level that allows them to receive </w:t>
      </w:r>
      <w:r w:rsidR="0005310A">
        <w:t>their desired</w:t>
      </w:r>
      <w:r w:rsidR="0005310A" w:rsidRPr="005206CA">
        <w:t xml:space="preserve"> </w:t>
      </w:r>
      <w:r w:rsidRPr="005206CA">
        <w:t>returns on investment.</w:t>
      </w:r>
    </w:p>
    <w:p w14:paraId="6D9AC36B" w14:textId="354A9D79" w:rsidR="006D0CD4" w:rsidRPr="005206CA" w:rsidRDefault="006D0CD4" w:rsidP="006D0CD4">
      <w:r w:rsidRPr="005206CA">
        <w:t xml:space="preserve">Two design elements determine which bids are successful in each auction: the benchmark price and the variable volume threshold. The benchmark price is set by the CER prior to the auction and sets a maximum price the CER is prepared to pay. A non-disclosure </w:t>
      </w:r>
      <w:r w:rsidR="00744E96" w:rsidRPr="005206CA">
        <w:t xml:space="preserve">obligation </w:t>
      </w:r>
      <w:r w:rsidRPr="005206CA">
        <w:t xml:space="preserve">applies (which forbids </w:t>
      </w:r>
      <w:r w:rsidR="002B7B1D">
        <w:t xml:space="preserve">scheme </w:t>
      </w:r>
      <w:r w:rsidRPr="005206CA">
        <w:t xml:space="preserve">participants from disclosing their bid prices) to protect the confidentiality of the benchmark price. </w:t>
      </w:r>
    </w:p>
    <w:p w14:paraId="6547CF96" w14:textId="1B784276" w:rsidR="006D0CD4" w:rsidRPr="005206CA" w:rsidRDefault="006D0CD4" w:rsidP="006D0CD4">
      <w:r w:rsidRPr="005206CA">
        <w:t>In the ERF White Paper the Government recognised there were trade-offs in choosing to reveal or maintain confidentiality around the benchmark price (</w:t>
      </w:r>
      <w:r w:rsidRPr="005206CA">
        <w:rPr>
          <w:rStyle w:val="In-textChar"/>
        </w:rPr>
        <w:t>Australian Government 2014</w:t>
      </w:r>
      <w:r w:rsidRPr="005206CA">
        <w:t xml:space="preserve">). Revealing the price gives greater certainty to the market but also may encourage bidding at or just below the benchmark price by </w:t>
      </w:r>
      <w:r w:rsidR="002B7B1D">
        <w:t>scheme</w:t>
      </w:r>
      <w:r w:rsidRPr="005206CA">
        <w:t xml:space="preserve"> participants. The Government decided that the benchmark price would remain confidential but the average price of successful bids would be published after each auction to provide some information on price to future </w:t>
      </w:r>
      <w:r w:rsidR="002B7B1D">
        <w:t xml:space="preserve">scheme </w:t>
      </w:r>
      <w:r w:rsidRPr="005206CA">
        <w:t>participants and support investment in new projects (</w:t>
      </w:r>
      <w:r w:rsidRPr="005206CA">
        <w:rPr>
          <w:rStyle w:val="In-textChar"/>
        </w:rPr>
        <w:t>Australian Government 2014</w:t>
      </w:r>
      <w:r w:rsidRPr="005206CA">
        <w:t xml:space="preserve">). GreenCollar noted that the ERF (through the auction process) </w:t>
      </w:r>
      <w:r w:rsidR="007544E1" w:rsidRPr="005206CA">
        <w:t>‘</w:t>
      </w:r>
      <w:r w:rsidRPr="005206CA">
        <w:t>has been a wonderful tool for enabling price discovery</w:t>
      </w:r>
      <w:r w:rsidR="007544E1" w:rsidRPr="005206CA">
        <w:t>’</w:t>
      </w:r>
      <w:r w:rsidRPr="005206CA">
        <w:t xml:space="preserve"> (submission o</w:t>
      </w:r>
      <w:r w:rsidR="007544E1" w:rsidRPr="005206CA">
        <w:t>n</w:t>
      </w:r>
      <w:r w:rsidRPr="005206CA">
        <w:t xml:space="preserve"> </w:t>
      </w:r>
      <w:r w:rsidR="002874CD" w:rsidRPr="005206CA">
        <w:t xml:space="preserve">the </w:t>
      </w:r>
      <w:r w:rsidRPr="005206CA">
        <w:t>2017 review</w:t>
      </w:r>
      <w:r w:rsidR="00E95A0B" w:rsidRPr="005206CA">
        <w:t>, p. 3</w:t>
      </w:r>
      <w:r w:rsidRPr="005206CA">
        <w:t>).</w:t>
      </w:r>
    </w:p>
    <w:p w14:paraId="0EF3A71B" w14:textId="7CF2CF26" w:rsidR="006D0CD4" w:rsidRPr="005206CA" w:rsidRDefault="006D0CD4" w:rsidP="006D0CD4">
      <w:r w:rsidRPr="005206CA">
        <w:t>The variable volume threshold determines the volume of emissions reductions under the benchmark price that is purchased. For the first auction, a fixed volume of 80 per cent of emissions reductions below the benchmark price was applied (</w:t>
      </w:r>
      <w:r w:rsidRPr="005206CA">
        <w:rPr>
          <w:rStyle w:val="In-textChar"/>
        </w:rPr>
        <w:t xml:space="preserve">CER </w:t>
      </w:r>
      <w:r w:rsidR="00866FC8" w:rsidRPr="005206CA">
        <w:rPr>
          <w:rStyle w:val="In-textChar"/>
        </w:rPr>
        <w:t>2015d</w:t>
      </w:r>
      <w:r w:rsidRPr="005206CA">
        <w:t>). In the second and subsequent auctions, the variable volume threshold allowed the CER to vary the volume purchased between 50 and 100 per cent of emissions reductions under the benchmark price (</w:t>
      </w:r>
      <w:r w:rsidRPr="005206CA">
        <w:rPr>
          <w:rStyle w:val="In-textChar"/>
        </w:rPr>
        <w:t xml:space="preserve">CER </w:t>
      </w:r>
      <w:r w:rsidR="00866FC8" w:rsidRPr="005206CA">
        <w:rPr>
          <w:rStyle w:val="In-textChar"/>
        </w:rPr>
        <w:t>2015f</w:t>
      </w:r>
      <w:r w:rsidRPr="005206CA">
        <w:t>). The variable volume threshold is intended to add uncertainty as to whether bids will be successful and foster competitive pricing in ERF auctions.</w:t>
      </w:r>
    </w:p>
    <w:p w14:paraId="345E62B8" w14:textId="77777777" w:rsidR="006D0CD4" w:rsidRPr="005206CA" w:rsidRDefault="006D0CD4" w:rsidP="006D0CD4">
      <w:r w:rsidRPr="005206CA">
        <w:t xml:space="preserve">The Authority’s research did not identify any required changes to the auction process or design. </w:t>
      </w:r>
    </w:p>
    <w:p w14:paraId="23FDF141" w14:textId="77777777" w:rsidR="006D0CD4" w:rsidRPr="005206CA" w:rsidRDefault="002F5F63" w:rsidP="00D45BBE">
      <w:pPr>
        <w:pStyle w:val="Heading3"/>
      </w:pPr>
      <w:r w:rsidRPr="005206CA">
        <w:t>Auction performance</w:t>
      </w:r>
    </w:p>
    <w:p w14:paraId="601D1E3B" w14:textId="3BA9B67B" w:rsidR="006D0CD4" w:rsidRPr="005206CA" w:rsidRDefault="006D0CD4" w:rsidP="006D0CD4">
      <w:r w:rsidRPr="005206CA">
        <w:t>The CER has established arrangements to protect the integrity and security of the auction process. Probity assessments of each of the auctions were conducted by an independent auditing firm. Based on monitoring of the integrity of the auction process, the auction processes were found to be ‘fair and transparent, decisions were made with accountability, and… confidential information associated with the auction was treated appropriately’ (</w:t>
      </w:r>
      <w:r w:rsidRPr="005206CA">
        <w:rPr>
          <w:rStyle w:val="In-textChar"/>
        </w:rPr>
        <w:t>CER 2015a</w:t>
      </w:r>
      <w:r w:rsidR="00753308">
        <w:rPr>
          <w:rStyle w:val="In-textChar"/>
        </w:rPr>
        <w:t>;</w:t>
      </w:r>
      <w:r w:rsidRPr="005206CA">
        <w:rPr>
          <w:rStyle w:val="In-textChar"/>
        </w:rPr>
        <w:t xml:space="preserve"> </w:t>
      </w:r>
      <w:r w:rsidR="00753308">
        <w:rPr>
          <w:rStyle w:val="In-textChar"/>
        </w:rPr>
        <w:t xml:space="preserve">CER </w:t>
      </w:r>
      <w:r w:rsidR="00683341" w:rsidRPr="005206CA">
        <w:rPr>
          <w:rStyle w:val="In-textChar"/>
        </w:rPr>
        <w:t>2015</w:t>
      </w:r>
      <w:r w:rsidRPr="005206CA">
        <w:rPr>
          <w:rStyle w:val="In-textChar"/>
        </w:rPr>
        <w:t>b</w:t>
      </w:r>
      <w:r w:rsidR="00753308">
        <w:rPr>
          <w:rStyle w:val="In-textChar"/>
        </w:rPr>
        <w:t>;</w:t>
      </w:r>
      <w:r w:rsidR="00753308" w:rsidRPr="005206CA">
        <w:rPr>
          <w:rStyle w:val="In-textChar"/>
        </w:rPr>
        <w:t xml:space="preserve"> </w:t>
      </w:r>
      <w:r w:rsidR="00753308">
        <w:rPr>
          <w:rStyle w:val="In-textChar"/>
        </w:rPr>
        <w:t>CER</w:t>
      </w:r>
      <w:r w:rsidRPr="005206CA">
        <w:rPr>
          <w:rStyle w:val="In-textChar"/>
        </w:rPr>
        <w:t xml:space="preserve"> 2016a</w:t>
      </w:r>
      <w:r w:rsidR="00753308">
        <w:rPr>
          <w:rStyle w:val="In-textChar"/>
        </w:rPr>
        <w:t>;</w:t>
      </w:r>
      <w:r w:rsidR="00753308" w:rsidRPr="005206CA">
        <w:rPr>
          <w:rStyle w:val="In-textChar"/>
        </w:rPr>
        <w:t xml:space="preserve"> </w:t>
      </w:r>
      <w:r w:rsidR="00753308">
        <w:rPr>
          <w:rStyle w:val="In-textChar"/>
        </w:rPr>
        <w:t>CER</w:t>
      </w:r>
      <w:r w:rsidR="00683341" w:rsidRPr="005206CA">
        <w:rPr>
          <w:rStyle w:val="In-textChar"/>
        </w:rPr>
        <w:t xml:space="preserve"> 2016</w:t>
      </w:r>
      <w:r w:rsidRPr="005206CA">
        <w:rPr>
          <w:rStyle w:val="In-textChar"/>
        </w:rPr>
        <w:t>b</w:t>
      </w:r>
      <w:r w:rsidR="00753308">
        <w:rPr>
          <w:rStyle w:val="In-textChar"/>
        </w:rPr>
        <w:t>;</w:t>
      </w:r>
      <w:r w:rsidR="00753308" w:rsidRPr="005206CA">
        <w:rPr>
          <w:rStyle w:val="In-textChar"/>
        </w:rPr>
        <w:t xml:space="preserve"> </w:t>
      </w:r>
      <w:r w:rsidR="00753308">
        <w:rPr>
          <w:rStyle w:val="In-textChar"/>
        </w:rPr>
        <w:t>CER</w:t>
      </w:r>
      <w:r w:rsidRPr="005206CA">
        <w:rPr>
          <w:rStyle w:val="In-textChar"/>
        </w:rPr>
        <w:t xml:space="preserve"> 2017</w:t>
      </w:r>
      <w:r w:rsidR="00866FC8" w:rsidRPr="005206CA">
        <w:rPr>
          <w:rStyle w:val="In-textChar"/>
        </w:rPr>
        <w:t>b</w:t>
      </w:r>
      <w:r w:rsidRPr="005206CA">
        <w:t xml:space="preserve">). The </w:t>
      </w:r>
      <w:r w:rsidRPr="00AC7279">
        <w:rPr>
          <w:rStyle w:val="In-textChar"/>
        </w:rPr>
        <w:t>A</w:t>
      </w:r>
      <w:r w:rsidR="0044644B" w:rsidRPr="00AC7279">
        <w:rPr>
          <w:rStyle w:val="In-textChar"/>
        </w:rPr>
        <w:t xml:space="preserve">ustralian </w:t>
      </w:r>
      <w:r w:rsidRPr="00AC7279">
        <w:rPr>
          <w:rStyle w:val="In-textChar"/>
        </w:rPr>
        <w:t>N</w:t>
      </w:r>
      <w:r w:rsidR="0044644B" w:rsidRPr="00AC7279">
        <w:rPr>
          <w:rStyle w:val="In-textChar"/>
        </w:rPr>
        <w:t xml:space="preserve">ational </w:t>
      </w:r>
      <w:r w:rsidRPr="00AC7279">
        <w:rPr>
          <w:rStyle w:val="In-textChar"/>
        </w:rPr>
        <w:t>A</w:t>
      </w:r>
      <w:r w:rsidR="0044644B" w:rsidRPr="00AC7279">
        <w:rPr>
          <w:rStyle w:val="In-textChar"/>
        </w:rPr>
        <w:t xml:space="preserve">udit </w:t>
      </w:r>
      <w:r w:rsidRPr="00AC7279">
        <w:rPr>
          <w:rStyle w:val="In-textChar"/>
        </w:rPr>
        <w:t>O</w:t>
      </w:r>
      <w:r w:rsidR="0044644B" w:rsidRPr="00AC7279">
        <w:rPr>
          <w:rStyle w:val="In-textChar"/>
        </w:rPr>
        <w:t>ffice</w:t>
      </w:r>
      <w:r w:rsidRPr="00AC7279">
        <w:rPr>
          <w:rStyle w:val="In-textChar"/>
        </w:rPr>
        <w:t xml:space="preserve"> </w:t>
      </w:r>
      <w:r w:rsidR="00CD34A5" w:rsidRPr="00AC7279">
        <w:rPr>
          <w:rStyle w:val="In-textChar"/>
        </w:rPr>
        <w:t>(2016)</w:t>
      </w:r>
      <w:r w:rsidR="00CD34A5" w:rsidRPr="005206CA">
        <w:t xml:space="preserve"> </w:t>
      </w:r>
      <w:r w:rsidRPr="005206CA">
        <w:t>audit of the purchasing process under the first two auctions concluded that the design and implementation of the auctions were in accordance with established proc</w:t>
      </w:r>
      <w:r w:rsidR="00CD34A5" w:rsidRPr="005206CA">
        <w:t>esses and probity guidance</w:t>
      </w:r>
      <w:r w:rsidRPr="005206CA">
        <w:t>.</w:t>
      </w:r>
    </w:p>
    <w:p w14:paraId="581DB28C" w14:textId="1C95ADF5" w:rsidR="0002565C" w:rsidRPr="005206CA" w:rsidRDefault="006D0CD4">
      <w:r w:rsidRPr="005206CA">
        <w:t xml:space="preserve">The CER also analyses auction results to identify any potential concerns around the operation of auctions, including evidence of collusion that may compromise the least cost purchasing principle. Analysis conducted by the CER has not identified any areas of significant concern. No issues around the integrity of the auction process have been raised by stakeholders in submissions </w:t>
      </w:r>
      <w:r w:rsidR="00E95A0B" w:rsidRPr="005206CA">
        <w:t>on</w:t>
      </w:r>
      <w:r w:rsidRPr="005206CA">
        <w:t xml:space="preserve"> this review</w:t>
      </w:r>
      <w:r w:rsidR="008F1746" w:rsidRPr="005206CA">
        <w:t>.</w:t>
      </w:r>
      <w:r w:rsidR="007544E1" w:rsidRPr="005206CA">
        <w:t xml:space="preserve"> </w:t>
      </w:r>
    </w:p>
    <w:p w14:paraId="06577B08" w14:textId="77777777" w:rsidR="006D0CD4" w:rsidRPr="005206CA" w:rsidRDefault="002F5F63" w:rsidP="00312CC0">
      <w:pPr>
        <w:pStyle w:val="Heading2"/>
      </w:pPr>
      <w:bookmarkStart w:id="1351" w:name="_Toc498691578"/>
      <w:bookmarkStart w:id="1352" w:name="_Toc500251134"/>
      <w:bookmarkStart w:id="1353" w:name="_Toc500251409"/>
      <w:bookmarkStart w:id="1354" w:name="_Toc500254006"/>
      <w:bookmarkStart w:id="1355" w:name="_Toc500401513"/>
      <w:bookmarkStart w:id="1356" w:name="_Toc500490997"/>
      <w:bookmarkStart w:id="1357" w:name="_Toc500512939"/>
      <w:bookmarkStart w:id="1358" w:name="_Toc500514194"/>
      <w:bookmarkStart w:id="1359" w:name="_Toc500516251"/>
      <w:r w:rsidRPr="005206CA">
        <w:t>Alternative approaches to purchasing</w:t>
      </w:r>
      <w:bookmarkEnd w:id="1351"/>
      <w:bookmarkEnd w:id="1352"/>
      <w:bookmarkEnd w:id="1353"/>
      <w:bookmarkEnd w:id="1354"/>
      <w:bookmarkEnd w:id="1355"/>
      <w:bookmarkEnd w:id="1356"/>
      <w:bookmarkEnd w:id="1357"/>
      <w:bookmarkEnd w:id="1358"/>
      <w:bookmarkEnd w:id="1359"/>
    </w:p>
    <w:p w14:paraId="5423E9C6" w14:textId="0F722FF3" w:rsidR="006D0CD4" w:rsidRPr="005206CA" w:rsidRDefault="006D0CD4" w:rsidP="006D0CD4">
      <w:r w:rsidRPr="005206CA">
        <w:t>In 2016, the CER released a ‘market sounding’ paper seeking stakeholder views on a ‘direct abatement offer’, or purchasing emissions reductions outside the auction process (</w:t>
      </w:r>
      <w:r w:rsidRPr="005206CA">
        <w:rPr>
          <w:rStyle w:val="In-textChar"/>
        </w:rPr>
        <w:t xml:space="preserve">CER </w:t>
      </w:r>
      <w:r w:rsidR="00022816" w:rsidRPr="005206CA">
        <w:rPr>
          <w:rStyle w:val="In-textChar"/>
        </w:rPr>
        <w:t>2016</w:t>
      </w:r>
      <w:r w:rsidR="00642B36" w:rsidRPr="005206CA">
        <w:rPr>
          <w:rStyle w:val="In-textChar"/>
        </w:rPr>
        <w:t>e</w:t>
      </w:r>
      <w:r w:rsidRPr="005206CA">
        <w:t>). Just six submissions were received</w:t>
      </w:r>
      <w:r w:rsidR="00556A32" w:rsidRPr="005206CA">
        <w:t>. S</w:t>
      </w:r>
      <w:r w:rsidRPr="005206CA">
        <w:t>ubmissions suggested that large bids should have the opportunity to be considered outside the auction process and that the ERF design could be adjusted to provide longer contract periods and broader methods. The CER concluded that given the limited number of responses, there was limited need to undertake purchasing approaches outside of auctions at this stage.</w:t>
      </w:r>
    </w:p>
    <w:p w14:paraId="00CC332A" w14:textId="77777777" w:rsidR="006D0CD4" w:rsidRPr="005206CA" w:rsidRDefault="002F5F63">
      <w:pPr>
        <w:pStyle w:val="Heading2"/>
      </w:pPr>
      <w:bookmarkStart w:id="1360" w:name="_Ref497378650"/>
      <w:bookmarkStart w:id="1361" w:name="_Toc497819510"/>
      <w:bookmarkStart w:id="1362" w:name="_Toc498691579"/>
      <w:bookmarkStart w:id="1363" w:name="_Toc499043757"/>
      <w:bookmarkStart w:id="1364" w:name="_Toc499051782"/>
      <w:bookmarkStart w:id="1365" w:name="_Toc500251135"/>
      <w:bookmarkStart w:id="1366" w:name="_Toc500251410"/>
      <w:bookmarkStart w:id="1367" w:name="_Toc500254007"/>
      <w:bookmarkStart w:id="1368" w:name="_Toc500401514"/>
      <w:bookmarkStart w:id="1369" w:name="_Toc500490998"/>
      <w:bookmarkStart w:id="1370" w:name="_Toc500512940"/>
      <w:bookmarkStart w:id="1371" w:name="_Toc500514195"/>
      <w:bookmarkStart w:id="1372" w:name="_Toc500516252"/>
      <w:r w:rsidRPr="005206CA">
        <w:t>Contracts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34D38AC1" w14:textId="477A4FEF" w:rsidR="006D0CD4" w:rsidRPr="005206CA" w:rsidRDefault="002B7B1D" w:rsidP="006D0CD4">
      <w:r>
        <w:t>Scheme p</w:t>
      </w:r>
      <w:r w:rsidR="006D0CD4" w:rsidRPr="005206CA">
        <w:t>articipants who are successful at an ERF auction enter into a standardised carbon abatement contract with the CER. As a standardised agreement, the carbon abatement contract aims to ‘reduce transaction costs, increase transparency and ensure projects compete for funding at auctions on equal terms’ (</w:t>
      </w:r>
      <w:r w:rsidR="006D0CD4" w:rsidRPr="005206CA">
        <w:rPr>
          <w:rStyle w:val="In-textChar"/>
        </w:rPr>
        <w:t>Australian Government 2014</w:t>
      </w:r>
      <w:r w:rsidR="0055535F" w:rsidRPr="005206CA">
        <w:rPr>
          <w:rStyle w:val="In-textChar"/>
        </w:rPr>
        <w:t>, p.11</w:t>
      </w:r>
      <w:r w:rsidR="006D0CD4" w:rsidRPr="005206CA">
        <w:t>).</w:t>
      </w:r>
    </w:p>
    <w:p w14:paraId="327EE64E" w14:textId="77777777" w:rsidR="006D0CD4" w:rsidRPr="005206CA" w:rsidRDefault="002F5F63">
      <w:pPr>
        <w:pStyle w:val="Heading3"/>
      </w:pPr>
      <w:r w:rsidRPr="005206CA">
        <w:t>Maximum contract length</w:t>
      </w:r>
    </w:p>
    <w:p w14:paraId="49561BA9" w14:textId="1327446E" w:rsidR="006D0CD4" w:rsidRPr="005206CA" w:rsidRDefault="006D0CD4" w:rsidP="006D0CD4">
      <w:r w:rsidRPr="005206CA">
        <w:t xml:space="preserve">There are three types of carbon abatement contracts: a standard contract, short-term contract and immediate delivery contract. The shorter-term contracts are for less than seven years and allow the CER and scheme participant to </w:t>
      </w:r>
      <w:r w:rsidR="0005310A">
        <w:t>reduce</w:t>
      </w:r>
      <w:r w:rsidR="0005310A" w:rsidRPr="005206CA">
        <w:t xml:space="preserve"> </w:t>
      </w:r>
      <w:r w:rsidRPr="005206CA">
        <w:t xml:space="preserve">the risk of contract terminations. The trade-off is a reduced period over which the volume and price of ACCUs is fixed. The maximum contract length is </w:t>
      </w:r>
      <w:r w:rsidR="004D5389">
        <w:t>7</w:t>
      </w:r>
      <w:r w:rsidR="004D5389" w:rsidRPr="005206CA">
        <w:t xml:space="preserve"> </w:t>
      </w:r>
      <w:r w:rsidRPr="005206CA">
        <w:t>years for emissions avoidance projects and 10 years for savanna burning and sequestration projects. Sellers may choose to enter into immediate delivery contracts if their registered project has already earned ACCUs.</w:t>
      </w:r>
    </w:p>
    <w:p w14:paraId="076FF202" w14:textId="0C1358DD" w:rsidR="006D0CD4" w:rsidRPr="005206CA" w:rsidRDefault="0005310A" w:rsidP="006D0CD4">
      <w:r w:rsidRPr="005206CA">
        <w:t>M</w:t>
      </w:r>
      <w:r>
        <w:t>any</w:t>
      </w:r>
      <w:r w:rsidRPr="005206CA">
        <w:t xml:space="preserve"> </w:t>
      </w:r>
      <w:r w:rsidR="006D0CD4" w:rsidRPr="005206CA">
        <w:t xml:space="preserve">stakeholders stated that the maximum contract length should be extended to support certain types of ERF projects by prolonging the length of time that a fixed price can be achieved. For example, in their submissions </w:t>
      </w:r>
      <w:r w:rsidR="0055535F" w:rsidRPr="005206CA">
        <w:t>on</w:t>
      </w:r>
      <w:r w:rsidR="006D0CD4" w:rsidRPr="005206CA">
        <w:t xml:space="preserve"> the 2017 </w:t>
      </w:r>
      <w:r w:rsidR="002874CD" w:rsidRPr="005206CA">
        <w:t>r</w:t>
      </w:r>
      <w:r w:rsidR="006D0CD4" w:rsidRPr="005206CA">
        <w:t>eview, the Australian Industry Group,</w:t>
      </w:r>
      <w:r w:rsidR="00361ABE" w:rsidRPr="005206CA">
        <w:t xml:space="preserve"> A</w:t>
      </w:r>
      <w:r w:rsidR="0044644B" w:rsidRPr="005206CA">
        <w:t xml:space="preserve">ustralian </w:t>
      </w:r>
      <w:r w:rsidR="00361ABE" w:rsidRPr="005206CA">
        <w:t>P</w:t>
      </w:r>
      <w:r w:rsidR="0044644B" w:rsidRPr="005206CA">
        <w:t xml:space="preserve">etroleum </w:t>
      </w:r>
      <w:r w:rsidR="00361ABE" w:rsidRPr="005206CA">
        <w:t>P</w:t>
      </w:r>
      <w:r w:rsidR="0044644B" w:rsidRPr="005206CA">
        <w:t xml:space="preserve">roduction and </w:t>
      </w:r>
      <w:r w:rsidR="00361ABE" w:rsidRPr="005206CA">
        <w:t>E</w:t>
      </w:r>
      <w:r w:rsidR="0044644B" w:rsidRPr="005206CA">
        <w:t xml:space="preserve">xploration </w:t>
      </w:r>
      <w:r w:rsidR="00361ABE" w:rsidRPr="005206CA">
        <w:t>A</w:t>
      </w:r>
      <w:r w:rsidR="0044644B" w:rsidRPr="005206CA">
        <w:t>ssociation</w:t>
      </w:r>
      <w:r w:rsidR="006D0CD4" w:rsidRPr="005206CA">
        <w:t xml:space="preserve"> and BHP Billiton said that the maximum contract length imposed a barrier for participation for projects in industry, energy</w:t>
      </w:r>
      <w:r w:rsidR="00361ABE" w:rsidRPr="005206CA">
        <w:t xml:space="preserve"> and </w:t>
      </w:r>
      <w:r w:rsidR="006D0CD4" w:rsidRPr="005206CA">
        <w:t>much of agriculture. The Kimberley Land Council stated that the contract length offers ‘no benefit to projects that have been recognised as additional and therefore provided with longer crediting periods’</w:t>
      </w:r>
      <w:r w:rsidR="00361ABE" w:rsidRPr="005206CA">
        <w:t xml:space="preserve"> (submission on </w:t>
      </w:r>
      <w:r w:rsidR="002874CD" w:rsidRPr="005206CA">
        <w:t xml:space="preserve">the </w:t>
      </w:r>
      <w:r w:rsidR="00361ABE" w:rsidRPr="005206CA">
        <w:t xml:space="preserve">2017 </w:t>
      </w:r>
      <w:r w:rsidR="002874CD" w:rsidRPr="005206CA">
        <w:t>r</w:t>
      </w:r>
      <w:r w:rsidR="00361ABE" w:rsidRPr="005206CA">
        <w:t>eview, p.</w:t>
      </w:r>
      <w:r w:rsidR="002874CD" w:rsidRPr="005206CA">
        <w:t xml:space="preserve"> </w:t>
      </w:r>
      <w:r w:rsidR="00361ABE" w:rsidRPr="005206CA">
        <w:t>8).</w:t>
      </w:r>
      <w:r w:rsidR="00CD34A5" w:rsidRPr="005206CA">
        <w:t xml:space="preserve"> Conversely, GreenCollar, a c</w:t>
      </w:r>
      <w:r w:rsidR="0044644B" w:rsidRPr="005206CA">
        <w:t xml:space="preserve">arbon </w:t>
      </w:r>
      <w:r w:rsidR="00CD34A5" w:rsidRPr="005206CA">
        <w:t>s</w:t>
      </w:r>
      <w:r w:rsidR="0044644B" w:rsidRPr="005206CA">
        <w:t xml:space="preserve">ervice </w:t>
      </w:r>
      <w:r w:rsidR="00CD34A5" w:rsidRPr="005206CA">
        <w:t>p</w:t>
      </w:r>
      <w:r w:rsidR="0044644B" w:rsidRPr="005206CA">
        <w:t>rovider (CSP)</w:t>
      </w:r>
      <w:r w:rsidR="006D0CD4" w:rsidRPr="005206CA">
        <w:t>, said that ‘the 7-10 year contract has provided certainty to the farmers and the carbon industry’</w:t>
      </w:r>
      <w:r w:rsidR="00E95A0B" w:rsidRPr="005206CA">
        <w:t xml:space="preserve"> (p. 4)</w:t>
      </w:r>
      <w:r w:rsidR="006D0CD4" w:rsidRPr="005206CA">
        <w:t xml:space="preserve">. In their </w:t>
      </w:r>
      <w:r w:rsidR="007E5547" w:rsidRPr="005206CA">
        <w:t>submission on</w:t>
      </w:r>
      <w:r w:rsidR="006D0CD4" w:rsidRPr="005206CA">
        <w:t xml:space="preserve"> th</w:t>
      </w:r>
      <w:r w:rsidR="009E1BB5" w:rsidRPr="005206CA">
        <w:t>is</w:t>
      </w:r>
      <w:r w:rsidR="006D0CD4" w:rsidRPr="005206CA">
        <w:t xml:space="preserve"> review, Climate</w:t>
      </w:r>
      <w:r w:rsidR="00036DC9" w:rsidRPr="005206CA">
        <w:t xml:space="preserve"> </w:t>
      </w:r>
      <w:r w:rsidR="006D0CD4" w:rsidRPr="005206CA">
        <w:t xml:space="preserve">Friendly, another CSP, stated that ‘long-term government contracts have offered a price signal with lower risk’ </w:t>
      </w:r>
      <w:r w:rsidR="00361ABE" w:rsidRPr="005206CA">
        <w:t>(</w:t>
      </w:r>
      <w:r w:rsidR="00E95A0B" w:rsidRPr="005206CA">
        <w:t>p. 2</w:t>
      </w:r>
      <w:r w:rsidR="00361ABE" w:rsidRPr="005206CA">
        <w:t xml:space="preserve">) </w:t>
      </w:r>
      <w:r w:rsidR="006D0CD4" w:rsidRPr="005206CA">
        <w:t xml:space="preserve">and Arnhem Land Fire Abatement </w:t>
      </w:r>
      <w:r w:rsidR="00683341" w:rsidRPr="005206CA">
        <w:t xml:space="preserve">(ALFA) </w:t>
      </w:r>
      <w:r w:rsidR="006D0CD4" w:rsidRPr="005206CA">
        <w:t xml:space="preserve">said that </w:t>
      </w:r>
      <w:r w:rsidR="007C2244">
        <w:t xml:space="preserve">‘a low risk and long term contract selling credits to the Australian Government’ </w:t>
      </w:r>
      <w:r w:rsidR="006D0CD4" w:rsidRPr="005206CA">
        <w:t xml:space="preserve">has been one of the </w:t>
      </w:r>
      <w:r w:rsidR="0055535F" w:rsidRPr="005206CA">
        <w:t>‘</w:t>
      </w:r>
      <w:r w:rsidR="006D0CD4" w:rsidRPr="005206CA">
        <w:t>positives associated with the ERF’</w:t>
      </w:r>
      <w:r w:rsidR="0055535F" w:rsidRPr="005206CA">
        <w:t xml:space="preserve"> (p.</w:t>
      </w:r>
      <w:r w:rsidR="00E95A0B" w:rsidRPr="005206CA">
        <w:t xml:space="preserve"> </w:t>
      </w:r>
      <w:r w:rsidR="0055535F" w:rsidRPr="005206CA">
        <w:t>6)</w:t>
      </w:r>
      <w:r w:rsidR="006D0CD4" w:rsidRPr="005206CA">
        <w:t>.</w:t>
      </w:r>
    </w:p>
    <w:p w14:paraId="6CA3FD28" w14:textId="2ABB1142" w:rsidR="006D0CD4" w:rsidRPr="005206CA" w:rsidRDefault="006D0CD4" w:rsidP="006D0CD4">
      <w:r w:rsidRPr="005206CA">
        <w:t>The maximum contract length makes a trade-off between encouraging participation in the ERF and binding the Government’s future use of taxpayer revenue. The Authority notes that contract length is only one of a range of factors identified by business as affecting uptake. The maximum contract length was determined based on market testing of the commercial impacts of alternative contract lengths for proposed ERF projects (</w:t>
      </w:r>
      <w:r w:rsidR="00361ABE" w:rsidRPr="005206CA">
        <w:rPr>
          <w:rStyle w:val="In-textChar"/>
        </w:rPr>
        <w:t>Australian Government 2014</w:t>
      </w:r>
      <w:r w:rsidRPr="005206CA">
        <w:t xml:space="preserve">). The Authority is of the view that the risks of increasing contract length (in terms of binding the Government) outweigh the benefits of doing so and does not recommend they change. </w:t>
      </w:r>
    </w:p>
    <w:p w14:paraId="6A33DDD7" w14:textId="77777777" w:rsidR="006D0CD4" w:rsidRPr="005206CA" w:rsidRDefault="006847CD">
      <w:pPr>
        <w:pStyle w:val="Heading3"/>
      </w:pPr>
      <w:r w:rsidRPr="005206CA">
        <w:t>Fixed total delivery volume</w:t>
      </w:r>
    </w:p>
    <w:p w14:paraId="62D27A1D" w14:textId="2FBABC0C" w:rsidR="009A1A5B" w:rsidRPr="005206CA" w:rsidRDefault="006D0CD4" w:rsidP="001B285A">
      <w:pPr>
        <w:rPr>
          <w:color w:val="FF0000"/>
        </w:rPr>
      </w:pPr>
      <w:r w:rsidRPr="005206CA">
        <w:t xml:space="preserve">The carbon abatement contract contains a delivery schedule for a specified </w:t>
      </w:r>
      <w:r w:rsidR="00E7729F" w:rsidRPr="005206CA">
        <w:t>volume</w:t>
      </w:r>
      <w:r w:rsidRPr="005206CA">
        <w:t xml:space="preserve"> of ACCUs </w:t>
      </w:r>
      <w:r w:rsidR="009A1A5B" w:rsidRPr="005206CA">
        <w:t xml:space="preserve">by </w:t>
      </w:r>
      <w:r w:rsidRPr="005206CA">
        <w:t xml:space="preserve">stipulated dates across the contract period. </w:t>
      </w:r>
      <w:r w:rsidR="001B285A" w:rsidRPr="005206CA">
        <w:t xml:space="preserve">The contract provides some flexibility to allow the seller to manage their delivery schedules, for example by allowing early delivery of units within a financial year. In addition, contract variations can be agreed with the CER to allow a change in the delivery schedule if the seller is able to provide information to show they will be able to make up the shortfall within a reasonable timeframe from the project or other sources. </w:t>
      </w:r>
      <w:r w:rsidR="00B93EB9" w:rsidRPr="005206CA">
        <w:t xml:space="preserve">All ACCUs must be delivered by the last contract delivery milestone. </w:t>
      </w:r>
    </w:p>
    <w:p w14:paraId="3FA391C9" w14:textId="448B8234" w:rsidR="006D0CD4" w:rsidRPr="005206CA" w:rsidRDefault="006D0CD4" w:rsidP="006D0CD4">
      <w:r w:rsidRPr="005206CA">
        <w:t xml:space="preserve">Contract variation creates administrative complexity for the CER. However, the Authority understands that such flexibility is important for scheme participants and is of the view that contracting as a whole is working well. For example, GreenColllar in their submission </w:t>
      </w:r>
      <w:r w:rsidR="00FB2F0A" w:rsidRPr="005206CA">
        <w:t>on</w:t>
      </w:r>
      <w:r w:rsidR="00BD32EF" w:rsidRPr="005206CA">
        <w:t xml:space="preserve"> this </w:t>
      </w:r>
      <w:r w:rsidR="009E1BB5" w:rsidRPr="005206CA">
        <w:t>r</w:t>
      </w:r>
      <w:r w:rsidR="00BD32EF" w:rsidRPr="005206CA">
        <w:t>eview said ‘</w:t>
      </w:r>
      <w:r w:rsidRPr="005206CA">
        <w:t>The contract has been the basis of the success of the ERF to date...</w:t>
      </w:r>
      <w:r w:rsidR="00BD32EF" w:rsidRPr="005206CA">
        <w:t xml:space="preserve"> </w:t>
      </w:r>
      <w:r w:rsidRPr="005206CA">
        <w:t xml:space="preserve">The market needs consistency and certainty, any sudden changes may have detrimental effects on market </w:t>
      </w:r>
      <w:r w:rsidR="00361ABE" w:rsidRPr="005206CA">
        <w:t>participants</w:t>
      </w:r>
      <w:r w:rsidRPr="005206CA">
        <w:t>’</w:t>
      </w:r>
      <w:r w:rsidR="00361ABE" w:rsidRPr="005206CA">
        <w:t xml:space="preserve"> (p.</w:t>
      </w:r>
      <w:r w:rsidR="00E95A0B" w:rsidRPr="005206CA">
        <w:t xml:space="preserve"> </w:t>
      </w:r>
      <w:r w:rsidR="00361ABE" w:rsidRPr="005206CA">
        <w:t>10)</w:t>
      </w:r>
      <w:r w:rsidRPr="005206CA">
        <w:t>. As such, the Authority is of the view that the current flexibility to vary ERF contracts should continue.</w:t>
      </w:r>
    </w:p>
    <w:p w14:paraId="011CB167" w14:textId="44AD85E0" w:rsidR="006D0CD4" w:rsidRPr="005206CA" w:rsidRDefault="006D0CD4" w:rsidP="006D0CD4">
      <w:r w:rsidRPr="005206CA">
        <w:t xml:space="preserve">Under normal circumstances, neither party can vary the total volume of ACCUs or extend the final date of delivery. In their submission </w:t>
      </w:r>
      <w:r w:rsidR="00361ABE" w:rsidRPr="005206CA">
        <w:t>on</w:t>
      </w:r>
      <w:r w:rsidRPr="005206CA">
        <w:t xml:space="preserve"> th</w:t>
      </w:r>
      <w:r w:rsidR="009E1BB5" w:rsidRPr="005206CA">
        <w:t>is</w:t>
      </w:r>
      <w:r w:rsidRPr="005206CA">
        <w:t xml:space="preserve"> </w:t>
      </w:r>
      <w:r w:rsidR="009E1BB5" w:rsidRPr="005206CA">
        <w:t>r</w:t>
      </w:r>
      <w:r w:rsidRPr="005206CA">
        <w:t>eview, the Australian Gas Infrastructure Group said that emissions reductions from ERF projects in the mining, oil and gas sectors are difficult to predict as they are responsive to external factors, such as demand. Due to the contractual requirement to deliver a fixed volume of ACCUs, ‘this uncertainty increases the cost of participating in the ERF’</w:t>
      </w:r>
      <w:r w:rsidR="00361ABE" w:rsidRPr="005206CA">
        <w:t xml:space="preserve"> (p.</w:t>
      </w:r>
      <w:r w:rsidR="00E95A0B" w:rsidRPr="005206CA">
        <w:t xml:space="preserve"> </w:t>
      </w:r>
      <w:r w:rsidR="00361ABE" w:rsidRPr="005206CA">
        <w:t>2)</w:t>
      </w:r>
      <w:r w:rsidRPr="005206CA">
        <w:t>. This view is supported by the Australian Petroleum Production &amp; Exploration Association. Further, Arnhem Land Fire Abatement</w:t>
      </w:r>
      <w:r w:rsidR="004F5FE9" w:rsidRPr="005206CA">
        <w:t xml:space="preserve"> (ALFA)</w:t>
      </w:r>
      <w:r w:rsidRPr="005206CA">
        <w:t xml:space="preserve"> stated that ‘the fixed delivery on carbon abatement contracts also introduces risks for carbon producers operating under annually variable methodologies (as is the case with Savanna Burning)’</w:t>
      </w:r>
      <w:r w:rsidR="00361ABE" w:rsidRPr="005206CA">
        <w:t xml:space="preserve"> (</w:t>
      </w:r>
      <w:r w:rsidR="00E95A0B" w:rsidRPr="005206CA">
        <w:t xml:space="preserve">submission on this review, </w:t>
      </w:r>
      <w:r w:rsidR="00361ABE" w:rsidRPr="005206CA">
        <w:t>p.</w:t>
      </w:r>
      <w:r w:rsidR="00E95A0B" w:rsidRPr="005206CA">
        <w:t xml:space="preserve"> </w:t>
      </w:r>
      <w:r w:rsidR="00361ABE" w:rsidRPr="005206CA">
        <w:t>6).</w:t>
      </w:r>
    </w:p>
    <w:p w14:paraId="44CE66AD" w14:textId="0F23F869" w:rsidR="006D0CD4" w:rsidRPr="005206CA" w:rsidRDefault="006D0CD4" w:rsidP="006D0CD4">
      <w:r w:rsidRPr="005206CA">
        <w:t xml:space="preserve">However, incorporating flexibility around the total delivery volume would make it difficult for the Government to forecast expenditure or stay within a given budget. Further, the fixed delivery volume </w:t>
      </w:r>
      <w:r w:rsidR="00361ABE" w:rsidRPr="005206CA">
        <w:t xml:space="preserve">helps </w:t>
      </w:r>
      <w:r w:rsidRPr="005206CA">
        <w:t>ensure that contracts deliver the expected emissions reductions (</w:t>
      </w:r>
      <w:r w:rsidRPr="005206CA">
        <w:rPr>
          <w:rStyle w:val="In-textChar"/>
        </w:rPr>
        <w:t>Australian Government 2014</w:t>
      </w:r>
      <w:r w:rsidRPr="005206CA">
        <w:t>). Therefore, increased flexibility on the amount of abatement may increase the risk of Australia failing to meets its emissions reduction targets. On balance, the Authority is of the view that carbon abatement contracts should continue to fix total delivery volumes</w:t>
      </w:r>
      <w:r w:rsidR="00555178" w:rsidRPr="005206CA">
        <w:t>.</w:t>
      </w:r>
      <w:r w:rsidR="00555178" w:rsidRPr="005206CA" w:rsidDel="00555178">
        <w:t xml:space="preserve"> </w:t>
      </w:r>
    </w:p>
    <w:p w14:paraId="3D45E5C6" w14:textId="77777777" w:rsidR="006D0CD4" w:rsidRPr="005206CA" w:rsidRDefault="006847CD">
      <w:pPr>
        <w:pStyle w:val="Heading3"/>
      </w:pPr>
      <w:bookmarkStart w:id="1373" w:name="_Ref500490230"/>
      <w:r w:rsidRPr="005206CA">
        <w:t>Market damages</w:t>
      </w:r>
      <w:bookmarkEnd w:id="1373"/>
    </w:p>
    <w:p w14:paraId="3D8CA396" w14:textId="5D44D227" w:rsidR="000B3CBB" w:rsidRPr="005206CA" w:rsidRDefault="006D0CD4" w:rsidP="006D0CD4">
      <w:r w:rsidRPr="005206CA">
        <w:t xml:space="preserve">Under the </w:t>
      </w:r>
      <w:r w:rsidR="00890535" w:rsidRPr="005206CA">
        <w:t>ERF</w:t>
      </w:r>
      <w:r w:rsidRPr="005206CA">
        <w:t xml:space="preserve"> standard carbon abatement contract between the CER and scheme participant, the Government is entitled to seek buyer’s damages from the scheme participant for non-delivery of ACCUs. This encourages </w:t>
      </w:r>
      <w:r w:rsidR="002B7B1D">
        <w:t>scheme</w:t>
      </w:r>
      <w:r w:rsidRPr="005206CA">
        <w:t xml:space="preserve"> participants to meet their contractual delivery obligation and, in the case of default, the Government can purchase replacement ACCUs on the market. In general, the damages payable to the Government for non-delivery of ACCUs are set as the difference between the market price of</w:t>
      </w:r>
      <w:r w:rsidR="00BD32EF" w:rsidRPr="005206CA">
        <w:t xml:space="preserve"> ACCUs and the contract price. </w:t>
      </w:r>
      <w:r w:rsidRPr="005206CA">
        <w:t xml:space="preserve">However, market damages are capped at the contract price (plus interest and reasonable costs incurred by the CER). </w:t>
      </w:r>
      <w:r w:rsidR="00841DD8" w:rsidRPr="005206CA">
        <w:t xml:space="preserve">This means that if </w:t>
      </w:r>
      <w:r w:rsidRPr="005206CA">
        <w:t xml:space="preserve">the secondary market price exceeds </w:t>
      </w:r>
      <w:r w:rsidR="00813051" w:rsidRPr="005206CA">
        <w:t>double the contract price</w:t>
      </w:r>
      <w:r w:rsidRPr="005206CA">
        <w:t xml:space="preserve">, </w:t>
      </w:r>
      <w:r w:rsidR="002B7B1D">
        <w:t xml:space="preserve">scheme </w:t>
      </w:r>
      <w:r w:rsidRPr="005206CA">
        <w:t xml:space="preserve">participants may </w:t>
      </w:r>
      <w:r w:rsidR="000F792B">
        <w:t>have an incentive</w:t>
      </w:r>
      <w:r w:rsidRPr="005206CA">
        <w:t xml:space="preserve"> to default on their contracts</w:t>
      </w:r>
      <w:r w:rsidR="006B7A91" w:rsidRPr="005206CA">
        <w:t xml:space="preserve"> (</w:t>
      </w:r>
      <w:r w:rsidR="00610F96" w:rsidRPr="005206CA">
        <w:fldChar w:fldCharType="begin"/>
      </w:r>
      <w:r w:rsidR="00610F96" w:rsidRPr="005206CA">
        <w:instrText xml:space="preserve"> REF _Ref499042321 \h </w:instrText>
      </w:r>
      <w:r w:rsidR="0002132E" w:rsidRPr="005206CA">
        <w:instrText xml:space="preserve"> \* MERGEFORMAT </w:instrText>
      </w:r>
      <w:r w:rsidR="00610F96" w:rsidRPr="005206CA">
        <w:fldChar w:fldCharType="separate"/>
      </w:r>
      <w:r w:rsidR="00FA2002" w:rsidRPr="005206CA">
        <w:rPr>
          <w:rFonts w:cs="Arial"/>
        </w:rPr>
        <w:t xml:space="preserve">Box </w:t>
      </w:r>
      <w:r w:rsidR="00FA2002">
        <w:rPr>
          <w:rFonts w:cs="Arial"/>
          <w:noProof/>
        </w:rPr>
        <w:t>4</w:t>
      </w:r>
      <w:r w:rsidR="00610F96" w:rsidRPr="005206CA">
        <w:fldChar w:fldCharType="end"/>
      </w:r>
      <w:r w:rsidR="000B3CBB" w:rsidRPr="005206CA">
        <w:t>)</w:t>
      </w:r>
      <w:r w:rsidR="00610F96" w:rsidRPr="005206CA">
        <w:t>.</w:t>
      </w:r>
    </w:p>
    <w:tbl>
      <w:tblPr>
        <w:tblStyle w:val="TableGrid"/>
        <w:tblW w:w="0" w:type="auto"/>
        <w:shd w:val="clear" w:color="auto" w:fill="E6ECF2"/>
        <w:tblLook w:val="04A0" w:firstRow="1" w:lastRow="0" w:firstColumn="1" w:lastColumn="0" w:noHBand="0" w:noVBand="1"/>
      </w:tblPr>
      <w:tblGrid>
        <w:gridCol w:w="9202"/>
      </w:tblGrid>
      <w:tr w:rsidR="006B7A91" w:rsidRPr="005206CA" w14:paraId="0CC5818B" w14:textId="77777777" w:rsidTr="0038754B">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E6ECF2"/>
            <w:tcMar>
              <w:top w:w="567" w:type="dxa"/>
              <w:left w:w="567" w:type="dxa"/>
              <w:bottom w:w="567" w:type="dxa"/>
              <w:right w:w="567" w:type="dxa"/>
            </w:tcMar>
          </w:tcPr>
          <w:p w14:paraId="0C38BC08" w14:textId="7DB963DD" w:rsidR="00610F96" w:rsidRPr="005206CA" w:rsidRDefault="00610F96" w:rsidP="00610F96">
            <w:pPr>
              <w:pStyle w:val="CCAFigure"/>
              <w:rPr>
                <w:rFonts w:cs="Arial"/>
              </w:rPr>
            </w:pPr>
            <w:bookmarkStart w:id="1374" w:name="_Ref499042321"/>
            <w:bookmarkStart w:id="1375" w:name="_Toc499051690"/>
            <w:bookmarkStart w:id="1376" w:name="_Toc500251038"/>
            <w:bookmarkStart w:id="1377" w:name="_Toc500251313"/>
            <w:bookmarkStart w:id="1378" w:name="_Toc500253910"/>
            <w:bookmarkStart w:id="1379" w:name="_Toc500490901"/>
            <w:bookmarkStart w:id="1380" w:name="_Toc500513634"/>
            <w:bookmarkStart w:id="1381" w:name="_Toc500516155"/>
            <w:r w:rsidRPr="005206CA">
              <w:rPr>
                <w:rFonts w:cs="Arial"/>
              </w:rPr>
              <w:t xml:space="preserve">Box </w:t>
            </w:r>
            <w:r w:rsidRPr="005206CA">
              <w:rPr>
                <w:rFonts w:cs="Arial"/>
              </w:rPr>
              <w:fldChar w:fldCharType="begin"/>
            </w:r>
            <w:r w:rsidRPr="005206CA">
              <w:rPr>
                <w:rFonts w:cs="Arial"/>
              </w:rPr>
              <w:instrText xml:space="preserve"> SEQ Box \* ARABIC </w:instrText>
            </w:r>
            <w:r w:rsidRPr="005206CA">
              <w:rPr>
                <w:rFonts w:cs="Arial"/>
              </w:rPr>
              <w:fldChar w:fldCharType="separate"/>
            </w:r>
            <w:r w:rsidR="00FA2002">
              <w:rPr>
                <w:rFonts w:cs="Arial"/>
                <w:noProof/>
              </w:rPr>
              <w:t>4</w:t>
            </w:r>
            <w:r w:rsidRPr="005206CA">
              <w:rPr>
                <w:rFonts w:cs="Arial"/>
              </w:rPr>
              <w:fldChar w:fldCharType="end"/>
            </w:r>
            <w:bookmarkEnd w:id="1374"/>
            <w:r w:rsidRPr="005206CA">
              <w:rPr>
                <w:rFonts w:cs="Arial"/>
              </w:rPr>
              <w:t>: Worked example of market damages cap</w:t>
            </w:r>
            <w:bookmarkEnd w:id="1375"/>
            <w:bookmarkEnd w:id="1376"/>
            <w:bookmarkEnd w:id="1377"/>
            <w:bookmarkEnd w:id="1378"/>
            <w:bookmarkEnd w:id="1379"/>
            <w:bookmarkEnd w:id="1380"/>
            <w:bookmarkEnd w:id="1381"/>
          </w:p>
          <w:p w14:paraId="2A66AECF" w14:textId="7A94DE31" w:rsidR="000C4788" w:rsidRPr="005206CA" w:rsidRDefault="000C4788" w:rsidP="00E3411C">
            <w:r w:rsidRPr="005206CA">
              <w:t>Stuart has contracted to deliver ACCUs at $10 per tonne but wants to default on his Government contract so he can sell them to Wendy for $25 per tonne. The market damages penalty in his contract is capped at the contract price of $10 per ACCU so Stuart would pay the Government $10 per ACCU if he defaults. Stuart gets the $2</w:t>
            </w:r>
            <w:r w:rsidR="004747A0" w:rsidRPr="005206CA">
              <w:t>5</w:t>
            </w:r>
            <w:r w:rsidRPr="005206CA">
              <w:t xml:space="preserve"> per ACCU from Wendy and keeps $15 per ACCU after paying damages to the Government. The Government keeps the $10 per ACCU it would have paid Stuart if he had delivered on his contract. So Stuart</w:t>
            </w:r>
            <w:r w:rsidR="00AF026D" w:rsidRPr="005206CA">
              <w:t xml:space="preserve"> is</w:t>
            </w:r>
            <w:r w:rsidRPr="005206CA">
              <w:t xml:space="preserve"> $5 better off per ACCU and the Government is $5 worse off per ACCU relative to Stuart delivering on his contract </w:t>
            </w:r>
            <w:r w:rsidR="007B406F" w:rsidRPr="005206CA">
              <w:t xml:space="preserve">if it buys </w:t>
            </w:r>
            <w:r w:rsidRPr="005206CA">
              <w:t xml:space="preserve">replacement ACCUs at the market price of $25 per ACCU. </w:t>
            </w:r>
          </w:p>
          <w:p w14:paraId="7BD09A89" w14:textId="42334B0E" w:rsidR="006B7A91" w:rsidRPr="00AC7279" w:rsidRDefault="000C4788" w:rsidP="00EF5759">
            <w:pPr>
              <w:rPr>
                <w:sz w:val="18"/>
                <w:szCs w:val="18"/>
              </w:rPr>
            </w:pPr>
            <w:r w:rsidRPr="00AC7279">
              <w:rPr>
                <w:b/>
                <w:sz w:val="18"/>
                <w:szCs w:val="18"/>
              </w:rPr>
              <w:t>Note:</w:t>
            </w:r>
            <w:r w:rsidRPr="00AC7279">
              <w:rPr>
                <w:sz w:val="18"/>
                <w:szCs w:val="18"/>
              </w:rPr>
              <w:t xml:space="preserve"> In practice, Stuart will probably not get the full $5 per ACCU as the CER is entitled to charge him reasonable costs and interest associated with defaulting on his contract.</w:t>
            </w:r>
          </w:p>
        </w:tc>
      </w:tr>
    </w:tbl>
    <w:p w14:paraId="077CED57" w14:textId="3C3BD3A4" w:rsidR="00436463" w:rsidRPr="005206CA" w:rsidRDefault="006D0CD4" w:rsidP="009A25BD">
      <w:pPr>
        <w:spacing w:before="200"/>
      </w:pPr>
      <w:r w:rsidRPr="005206CA">
        <w:t>As discussed in</w:t>
      </w:r>
      <w:r w:rsidRPr="00AC7279">
        <w:rPr>
          <w:rStyle w:val="SectionChapterChar"/>
        </w:rPr>
        <w:t xml:space="preserve"> </w:t>
      </w:r>
      <w:r w:rsidR="007C193E" w:rsidRPr="00AC7279">
        <w:rPr>
          <w:rStyle w:val="SectionChapterChar"/>
        </w:rPr>
        <w:fldChar w:fldCharType="begin"/>
      </w:r>
      <w:r w:rsidR="007C193E" w:rsidRPr="00AC7279">
        <w:rPr>
          <w:rStyle w:val="SectionChapterChar"/>
        </w:rPr>
        <w:instrText xml:space="preserve"> REF _Ref497377844 \n \h </w:instrText>
      </w:r>
      <w:r w:rsidR="0002132E" w:rsidRPr="00AC7279">
        <w:rPr>
          <w:rStyle w:val="SectionChapterChar"/>
        </w:rPr>
        <w:instrText xml:space="preserve"> \* MERGEFORMAT </w:instrText>
      </w:r>
      <w:r w:rsidR="007C193E" w:rsidRPr="00AC7279">
        <w:rPr>
          <w:rStyle w:val="SectionChapterChar"/>
        </w:rPr>
      </w:r>
      <w:r w:rsidR="007C193E" w:rsidRPr="00AC7279">
        <w:rPr>
          <w:rStyle w:val="SectionChapterChar"/>
        </w:rPr>
        <w:fldChar w:fldCharType="separate"/>
      </w:r>
      <w:r w:rsidR="00FA2002">
        <w:rPr>
          <w:rStyle w:val="SectionChapterChar"/>
        </w:rPr>
        <w:t>Chapter 11</w:t>
      </w:r>
      <w:r w:rsidR="007C193E" w:rsidRPr="00AC7279">
        <w:rPr>
          <w:rStyle w:val="SectionChapterChar"/>
        </w:rPr>
        <w:fldChar w:fldCharType="end"/>
      </w:r>
      <w:r w:rsidRPr="005206CA">
        <w:t>, it is likely that demand for ACCUs on the secondary market will increase over time and this could impact the market price. As such, the cap on buyer’s damages should be revisited</w:t>
      </w:r>
      <w:r w:rsidR="000F792B">
        <w:t xml:space="preserve"> for new projects</w:t>
      </w:r>
      <w:r w:rsidRPr="005206CA">
        <w:t xml:space="preserve"> to take into account trends in the secondary market that influence the risk of delivery failure including price. Any proposed increase to the cap will also need to consider the likely impact on participation as scheme risks and costs will increase.</w:t>
      </w:r>
    </w:p>
    <w:tbl>
      <w:tblPr>
        <w:tblStyle w:val="TableGrid"/>
        <w:tblW w:w="0" w:type="auto"/>
        <w:shd w:val="clear" w:color="auto" w:fill="E6ECF2"/>
        <w:tblLook w:val="04A0" w:firstRow="1" w:lastRow="0" w:firstColumn="1" w:lastColumn="0" w:noHBand="0" w:noVBand="1"/>
      </w:tblPr>
      <w:tblGrid>
        <w:gridCol w:w="9202"/>
      </w:tblGrid>
      <w:tr w:rsidR="00436463" w:rsidRPr="005206CA" w14:paraId="66572213" w14:textId="77777777" w:rsidTr="00436463">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5EA9C9F1" w14:textId="77777777" w:rsidR="00436463" w:rsidRPr="005206CA" w:rsidRDefault="00436463">
            <w:pPr>
              <w:rPr>
                <w:rFonts w:cs="Arial"/>
                <w:b/>
                <w:color w:val="159DCE"/>
                <w:sz w:val="18"/>
                <w:szCs w:val="18"/>
              </w:rPr>
            </w:pPr>
            <w:r w:rsidRPr="005206CA">
              <w:rPr>
                <w:rFonts w:cs="Arial"/>
                <w:b/>
                <w:color w:val="159DCE"/>
                <w:sz w:val="18"/>
                <w:szCs w:val="18"/>
              </w:rPr>
              <w:t>RECOMMENDATION</w:t>
            </w:r>
          </w:p>
          <w:p w14:paraId="32B50A41" w14:textId="41312208" w:rsidR="00436463" w:rsidRPr="005206CA" w:rsidRDefault="00436463" w:rsidP="00234665">
            <w:pPr>
              <w:spacing w:after="140" w:line="320" w:lineRule="exact"/>
              <w:ind w:left="851" w:hanging="851"/>
              <w:rPr>
                <w:rFonts w:cs="Arial"/>
                <w:color w:val="414141"/>
                <w:sz w:val="18"/>
                <w:szCs w:val="18"/>
              </w:rPr>
            </w:pPr>
            <w:bookmarkStart w:id="1382" w:name="_Ref497828293"/>
            <w:bookmarkStart w:id="1383" w:name="_Toc497316910"/>
            <w:bookmarkStart w:id="1384" w:name="_Toc497827453"/>
            <w:bookmarkStart w:id="1385" w:name="_Toc497834089"/>
            <w:bookmarkStart w:id="1386" w:name="_Toc498534532"/>
            <w:bookmarkStart w:id="1387" w:name="_Toc498614727"/>
            <w:bookmarkStart w:id="1388" w:name="_Toc498691482"/>
            <w:bookmarkStart w:id="1389" w:name="_Toc499051681"/>
            <w:bookmarkStart w:id="1390" w:name="_Toc499202066"/>
            <w:bookmarkStart w:id="1391" w:name="_Toc499892350"/>
            <w:bookmarkStart w:id="1392" w:name="_Toc499898711"/>
            <w:bookmarkStart w:id="1393" w:name="_Toc499899351"/>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21</w:t>
            </w:r>
            <w:r w:rsidRPr="005206CA">
              <w:fldChar w:fldCharType="end"/>
            </w:r>
            <w:bookmarkEnd w:id="1382"/>
            <w:r w:rsidR="005D41E0">
              <w:t>.</w:t>
            </w:r>
            <w:r w:rsidRPr="005206CA">
              <w:rPr>
                <w:rFonts w:cs="Arial"/>
                <w:sz w:val="18"/>
                <w:szCs w:val="18"/>
              </w:rPr>
              <w:t xml:space="preserve"> </w:t>
            </w:r>
            <w:r w:rsidR="00044758" w:rsidRPr="005206CA">
              <w:rPr>
                <w:rFonts w:cs="Arial"/>
                <w:sz w:val="18"/>
                <w:szCs w:val="18"/>
              </w:rPr>
              <w:tab/>
            </w:r>
            <w:bookmarkStart w:id="1394" w:name="_Ref500236882"/>
            <w:r w:rsidRPr="005206CA">
              <w:rPr>
                <w:rFonts w:cs="Arial"/>
                <w:sz w:val="18"/>
                <w:szCs w:val="18"/>
              </w:rPr>
              <w:t>The C</w:t>
            </w:r>
            <w:r w:rsidR="00951588" w:rsidRPr="005206CA">
              <w:rPr>
                <w:rFonts w:cs="Arial"/>
                <w:sz w:val="18"/>
                <w:szCs w:val="18"/>
              </w:rPr>
              <w:t xml:space="preserve">lean </w:t>
            </w:r>
            <w:r w:rsidRPr="005206CA">
              <w:rPr>
                <w:rFonts w:cs="Arial"/>
                <w:sz w:val="18"/>
                <w:szCs w:val="18"/>
              </w:rPr>
              <w:t>E</w:t>
            </w:r>
            <w:r w:rsidR="00951588" w:rsidRPr="005206CA">
              <w:rPr>
                <w:rFonts w:cs="Arial"/>
                <w:sz w:val="18"/>
                <w:szCs w:val="18"/>
              </w:rPr>
              <w:t xml:space="preserve">nergy </w:t>
            </w:r>
            <w:r w:rsidRPr="005206CA">
              <w:rPr>
                <w:rFonts w:cs="Arial"/>
                <w:sz w:val="18"/>
                <w:szCs w:val="18"/>
              </w:rPr>
              <w:t>R</w:t>
            </w:r>
            <w:r w:rsidR="00951588" w:rsidRPr="005206CA">
              <w:rPr>
                <w:rFonts w:cs="Arial"/>
                <w:sz w:val="18"/>
                <w:szCs w:val="18"/>
              </w:rPr>
              <w:t>egulator</w:t>
            </w:r>
            <w:r w:rsidRPr="005206CA">
              <w:rPr>
                <w:rFonts w:cs="Arial"/>
                <w:sz w:val="18"/>
                <w:szCs w:val="18"/>
              </w:rPr>
              <w:t xml:space="preserve"> periodically revisit the cap on buyer’s damages</w:t>
            </w:r>
            <w:r w:rsidR="00DA1396" w:rsidRPr="005206CA">
              <w:rPr>
                <w:rFonts w:cs="Arial"/>
                <w:sz w:val="18"/>
                <w:szCs w:val="18"/>
              </w:rPr>
              <w:t xml:space="preserve"> in new E</w:t>
            </w:r>
            <w:r w:rsidR="00951588" w:rsidRPr="005206CA">
              <w:rPr>
                <w:rFonts w:cs="Arial"/>
                <w:sz w:val="18"/>
                <w:szCs w:val="18"/>
              </w:rPr>
              <w:t xml:space="preserve">missions </w:t>
            </w:r>
            <w:r w:rsidR="00DA1396" w:rsidRPr="005206CA">
              <w:rPr>
                <w:rFonts w:cs="Arial"/>
                <w:sz w:val="18"/>
                <w:szCs w:val="18"/>
              </w:rPr>
              <w:t>R</w:t>
            </w:r>
            <w:r w:rsidR="00951588" w:rsidRPr="005206CA">
              <w:rPr>
                <w:rFonts w:cs="Arial"/>
                <w:sz w:val="18"/>
                <w:szCs w:val="18"/>
              </w:rPr>
              <w:t xml:space="preserve">eduction </w:t>
            </w:r>
            <w:r w:rsidR="00DA1396" w:rsidRPr="005206CA">
              <w:rPr>
                <w:rFonts w:cs="Arial"/>
                <w:sz w:val="18"/>
                <w:szCs w:val="18"/>
              </w:rPr>
              <w:t>F</w:t>
            </w:r>
            <w:r w:rsidR="00951588" w:rsidRPr="005206CA">
              <w:rPr>
                <w:rFonts w:cs="Arial"/>
                <w:sz w:val="18"/>
                <w:szCs w:val="18"/>
              </w:rPr>
              <w:t>und</w:t>
            </w:r>
            <w:r w:rsidR="00DA1396" w:rsidRPr="005206CA">
              <w:rPr>
                <w:rFonts w:cs="Arial"/>
                <w:sz w:val="18"/>
                <w:szCs w:val="18"/>
              </w:rPr>
              <w:t xml:space="preserve"> contracts </w:t>
            </w:r>
            <w:r w:rsidRPr="005206CA">
              <w:rPr>
                <w:rFonts w:cs="Arial"/>
                <w:sz w:val="18"/>
                <w:szCs w:val="18"/>
              </w:rPr>
              <w:t xml:space="preserve">to provide a greater incentive for scheme participants to deliver their </w:t>
            </w:r>
            <w:r w:rsidR="00DA1396" w:rsidRPr="005206CA">
              <w:rPr>
                <w:rFonts w:cs="Arial"/>
                <w:sz w:val="18"/>
                <w:szCs w:val="18"/>
              </w:rPr>
              <w:t>contracted A</w:t>
            </w:r>
            <w:r w:rsidR="00951588" w:rsidRPr="005206CA">
              <w:rPr>
                <w:rFonts w:cs="Arial"/>
                <w:sz w:val="18"/>
                <w:szCs w:val="18"/>
              </w:rPr>
              <w:t xml:space="preserve">ustralian </w:t>
            </w:r>
            <w:r w:rsidR="00DA1396" w:rsidRPr="005206CA">
              <w:rPr>
                <w:rFonts w:cs="Arial"/>
                <w:sz w:val="18"/>
                <w:szCs w:val="18"/>
              </w:rPr>
              <w:t>C</w:t>
            </w:r>
            <w:r w:rsidR="00951588" w:rsidRPr="005206CA">
              <w:rPr>
                <w:rFonts w:cs="Arial"/>
                <w:sz w:val="18"/>
                <w:szCs w:val="18"/>
              </w:rPr>
              <w:t xml:space="preserve">arbon </w:t>
            </w:r>
            <w:r w:rsidR="00DA1396" w:rsidRPr="005206CA">
              <w:rPr>
                <w:rFonts w:cs="Arial"/>
                <w:sz w:val="18"/>
                <w:szCs w:val="18"/>
              </w:rPr>
              <w:t>C</w:t>
            </w:r>
            <w:r w:rsidR="00951588" w:rsidRPr="005206CA">
              <w:rPr>
                <w:rFonts w:cs="Arial"/>
                <w:sz w:val="18"/>
                <w:szCs w:val="18"/>
              </w:rPr>
              <w:t xml:space="preserve">redit </w:t>
            </w:r>
            <w:r w:rsidR="00DA1396" w:rsidRPr="005206CA">
              <w:rPr>
                <w:rFonts w:cs="Arial"/>
                <w:sz w:val="18"/>
                <w:szCs w:val="18"/>
              </w:rPr>
              <w:t>U</w:t>
            </w:r>
            <w:r w:rsidR="00951588" w:rsidRPr="005206CA">
              <w:rPr>
                <w:rFonts w:cs="Arial"/>
                <w:sz w:val="18"/>
                <w:szCs w:val="18"/>
              </w:rPr>
              <w:t>nit</w:t>
            </w:r>
            <w:r w:rsidR="00DA1396" w:rsidRPr="005206CA">
              <w:rPr>
                <w:rFonts w:cs="Arial"/>
                <w:sz w:val="18"/>
                <w:szCs w:val="18"/>
              </w:rPr>
              <w:t>s</w:t>
            </w:r>
            <w:r w:rsidRPr="005206CA">
              <w:rPr>
                <w:rFonts w:cs="Arial"/>
                <w:sz w:val="18"/>
                <w:szCs w:val="18"/>
              </w:rPr>
              <w:t>.</w:t>
            </w:r>
            <w:bookmarkEnd w:id="1383"/>
            <w:bookmarkEnd w:id="1384"/>
            <w:bookmarkEnd w:id="1385"/>
            <w:bookmarkEnd w:id="1386"/>
            <w:bookmarkEnd w:id="1387"/>
            <w:bookmarkEnd w:id="1388"/>
            <w:bookmarkEnd w:id="1389"/>
            <w:bookmarkEnd w:id="1390"/>
            <w:bookmarkEnd w:id="1391"/>
            <w:bookmarkEnd w:id="1392"/>
            <w:bookmarkEnd w:id="1393"/>
            <w:bookmarkEnd w:id="1394"/>
          </w:p>
        </w:tc>
      </w:tr>
    </w:tbl>
    <w:p w14:paraId="3B8F0E00" w14:textId="2F09AFA6" w:rsidR="007E0199" w:rsidRDefault="007E0199">
      <w:pPr>
        <w:spacing w:after="0" w:line="240" w:lineRule="auto"/>
        <w:rPr>
          <w:b/>
          <w:caps/>
          <w:color w:val="159DCE"/>
        </w:rPr>
      </w:pPr>
      <w:bookmarkStart w:id="1395" w:name="_Toc497819511"/>
      <w:bookmarkStart w:id="1396" w:name="_Toc498691580"/>
      <w:bookmarkStart w:id="1397" w:name="_Toc499043758"/>
      <w:bookmarkStart w:id="1398" w:name="_Toc499051783"/>
      <w:bookmarkStart w:id="1399" w:name="_Toc500251136"/>
      <w:bookmarkStart w:id="1400" w:name="_Toc500251411"/>
      <w:bookmarkStart w:id="1401" w:name="_Toc500254008"/>
    </w:p>
    <w:p w14:paraId="51763F10" w14:textId="5860A480" w:rsidR="006D0CD4" w:rsidRPr="005206CA" w:rsidRDefault="00436463">
      <w:pPr>
        <w:pStyle w:val="Heading2"/>
      </w:pPr>
      <w:bookmarkStart w:id="1402" w:name="_Toc500401515"/>
      <w:bookmarkStart w:id="1403" w:name="_Toc500490999"/>
      <w:bookmarkStart w:id="1404" w:name="_Toc500512941"/>
      <w:bookmarkStart w:id="1405" w:name="_Toc500514196"/>
      <w:bookmarkStart w:id="1406" w:name="_Toc500516253"/>
      <w:r w:rsidRPr="005206CA">
        <w:t xml:space="preserve">Expected delivery of abatement under the </w:t>
      </w:r>
      <w:r w:rsidR="006F4344" w:rsidRPr="005206CA">
        <w:t>E</w:t>
      </w:r>
      <w:r w:rsidR="00A31027" w:rsidRPr="005206CA">
        <w:t xml:space="preserve">missions </w:t>
      </w:r>
      <w:r w:rsidR="006F4344" w:rsidRPr="005206CA">
        <w:t>R</w:t>
      </w:r>
      <w:r w:rsidR="00A31027" w:rsidRPr="005206CA">
        <w:t xml:space="preserve">eduction </w:t>
      </w:r>
      <w:r w:rsidR="006F4344" w:rsidRPr="005206CA">
        <w:t>F</w:t>
      </w:r>
      <w:bookmarkEnd w:id="1395"/>
      <w:bookmarkEnd w:id="1396"/>
      <w:bookmarkEnd w:id="1397"/>
      <w:bookmarkEnd w:id="1398"/>
      <w:r w:rsidR="00A31027" w:rsidRPr="005206CA">
        <w:t>und</w:t>
      </w:r>
      <w:bookmarkEnd w:id="1399"/>
      <w:bookmarkEnd w:id="1400"/>
      <w:bookmarkEnd w:id="1401"/>
      <w:bookmarkEnd w:id="1402"/>
      <w:bookmarkEnd w:id="1403"/>
      <w:bookmarkEnd w:id="1404"/>
      <w:bookmarkEnd w:id="1405"/>
      <w:bookmarkEnd w:id="1406"/>
    </w:p>
    <w:p w14:paraId="405E3B9A" w14:textId="6DD169C6" w:rsidR="00BB5008" w:rsidRPr="0002132E" w:rsidRDefault="00BD32EF" w:rsidP="00BB5008">
      <w:r w:rsidRPr="0002132E">
        <w:t>Of the 189</w:t>
      </w:r>
      <w:r w:rsidR="006D0CD4" w:rsidRPr="0038754B">
        <w:t xml:space="preserve"> million ACCUs</w:t>
      </w:r>
      <w:r w:rsidR="00331A9C" w:rsidRPr="00331A9C">
        <w:t xml:space="preserve"> </w:t>
      </w:r>
      <w:r w:rsidR="00331A9C" w:rsidRPr="0038754B">
        <w:t>contracted</w:t>
      </w:r>
      <w:r w:rsidR="00331A9C">
        <w:t xml:space="preserve"> as at 16 November 2017</w:t>
      </w:r>
      <w:r w:rsidR="006D0CD4" w:rsidRPr="0038754B">
        <w:t>, 2</w:t>
      </w:r>
      <w:r w:rsidR="00F52D23" w:rsidRPr="0038754B">
        <w:t>6</w:t>
      </w:r>
      <w:r w:rsidR="006D0CD4" w:rsidRPr="0002132E">
        <w:t xml:space="preserve"> million ACCUs </w:t>
      </w:r>
      <w:r w:rsidR="00890535" w:rsidRPr="0038754B">
        <w:t xml:space="preserve">(or </w:t>
      </w:r>
      <w:r w:rsidR="0090555F" w:rsidRPr="0038754B">
        <w:t>around 1</w:t>
      </w:r>
      <w:r w:rsidR="00F52D23" w:rsidRPr="0038754B">
        <w:t>4</w:t>
      </w:r>
      <w:r w:rsidR="00890535" w:rsidRPr="0038754B">
        <w:t xml:space="preserve"> per cent)</w:t>
      </w:r>
      <w:r w:rsidR="00890535" w:rsidRPr="0002132E">
        <w:t xml:space="preserve"> </w:t>
      </w:r>
      <w:r w:rsidR="006D0CD4" w:rsidRPr="0038754B">
        <w:t>have already been delivered, with</w:t>
      </w:r>
      <w:r w:rsidRPr="0038754B">
        <w:t xml:space="preserve"> </w:t>
      </w:r>
      <w:r w:rsidR="000F792B">
        <w:t xml:space="preserve">about </w:t>
      </w:r>
      <w:r w:rsidR="007B406F">
        <w:t>15</w:t>
      </w:r>
      <w:r w:rsidR="00746089">
        <w:t>8</w:t>
      </w:r>
      <w:r w:rsidR="007B406F">
        <w:t xml:space="preserve"> </w:t>
      </w:r>
      <w:r w:rsidR="006D0CD4" w:rsidRPr="0038754B">
        <w:t>million ACCUs remaining to be delivered by 202</w:t>
      </w:r>
      <w:r w:rsidR="00E76D06" w:rsidRPr="0038754B">
        <w:t>8</w:t>
      </w:r>
      <w:r w:rsidR="00FB2F0A" w:rsidRPr="0038754B">
        <w:t xml:space="preserve"> (</w:t>
      </w:r>
      <w:r w:rsidR="00FB2F0A" w:rsidRPr="00E55312">
        <w:rPr>
          <w:rStyle w:val="In-textChar"/>
        </w:rPr>
        <w:t xml:space="preserve">CER </w:t>
      </w:r>
      <w:r w:rsidR="00B4754E">
        <w:rPr>
          <w:rStyle w:val="In-textChar"/>
        </w:rPr>
        <w:t>2017k</w:t>
      </w:r>
      <w:r w:rsidR="00FB2F0A" w:rsidRPr="0038754B">
        <w:t>)</w:t>
      </w:r>
      <w:r w:rsidR="006D0CD4" w:rsidRPr="0038754B">
        <w:t>. The n</w:t>
      </w:r>
      <w:r w:rsidRPr="0038754B">
        <w:t xml:space="preserve">umber of ACCUs delivered to the </w:t>
      </w:r>
      <w:r w:rsidR="006D0CD4" w:rsidRPr="0038754B">
        <w:t>CER under contract is marginally above expected delivery schedules at this time</w:t>
      </w:r>
      <w:r w:rsidR="00D86C05">
        <w:t xml:space="preserve">. </w:t>
      </w:r>
      <w:r w:rsidR="006D0CD4" w:rsidRPr="0038754B">
        <w:t>Some sellers are also generating more ACCUs than necessary to meet contractual obligations</w:t>
      </w:r>
      <w:r w:rsidR="00FB2F0A" w:rsidRPr="0038754B">
        <w:t>,</w:t>
      </w:r>
      <w:r w:rsidR="006D0CD4" w:rsidRPr="0038754B">
        <w:t xml:space="preserve"> which means they have a reserve of units to draw from if needed. </w:t>
      </w:r>
    </w:p>
    <w:p w14:paraId="7A216745" w14:textId="73F2EB65" w:rsidR="0090555F" w:rsidRPr="005206CA" w:rsidRDefault="006D0CD4" w:rsidP="0090555F">
      <w:r w:rsidRPr="0038754B">
        <w:t xml:space="preserve">While it appears that current </w:t>
      </w:r>
      <w:r w:rsidRPr="005206CA">
        <w:t>deliveries of ACCUs are broadly on track to meet total contract obligations under the ERF</w:t>
      </w:r>
      <w:r w:rsidR="0020724E" w:rsidRPr="005206CA">
        <w:t xml:space="preserve"> and the proportion of conditionally registered projects and contracts subject to conditions precedent are declining</w:t>
      </w:r>
      <w:r w:rsidRPr="005206CA">
        <w:t>, the past may not be a reliable guide to the future</w:t>
      </w:r>
      <w:r w:rsidR="0090555F" w:rsidRPr="005206CA">
        <w:t>. For example, there is a risk that deliveries</w:t>
      </w:r>
      <w:r w:rsidR="00A20002" w:rsidRPr="005206CA">
        <w:t xml:space="preserve"> of ACCUs</w:t>
      </w:r>
      <w:r w:rsidR="0090555F" w:rsidRPr="005206CA">
        <w:t xml:space="preserve"> could decline due to unforeseen climatic or business conditions. Additionally,</w:t>
      </w:r>
      <w:r w:rsidR="0055248E" w:rsidRPr="005206CA" w:rsidDel="000F792B">
        <w:t xml:space="preserve"> </w:t>
      </w:r>
      <w:r w:rsidR="0090555F" w:rsidRPr="005206CA">
        <w:t>30 per cent of projects</w:t>
      </w:r>
      <w:r w:rsidR="0090555F" w:rsidRPr="005206CA" w:rsidDel="00EF5759">
        <w:t xml:space="preserve"> </w:t>
      </w:r>
      <w:r w:rsidR="000F792B">
        <w:t xml:space="preserve">currently </w:t>
      </w:r>
      <w:r w:rsidR="00EF5759" w:rsidRPr="005206CA">
        <w:t>have conditional registration</w:t>
      </w:r>
      <w:r w:rsidR="0090555F" w:rsidRPr="005206CA">
        <w:t xml:space="preserve"> meaning these projects will not be able to proceed without securing consents or regulatory approvals</w:t>
      </w:r>
      <w:r w:rsidR="00331A9C" w:rsidRPr="005206CA">
        <w:t xml:space="preserve"> (</w:t>
      </w:r>
      <w:r w:rsidR="00771A73" w:rsidRPr="00AC7279">
        <w:rPr>
          <w:rStyle w:val="SectionChapterChar"/>
        </w:rPr>
        <w:t>S</w:t>
      </w:r>
      <w:r w:rsidR="00EF5759" w:rsidRPr="00AC7279">
        <w:rPr>
          <w:rStyle w:val="SectionChapterChar"/>
        </w:rPr>
        <w:t xml:space="preserve">ection </w:t>
      </w:r>
      <w:r w:rsidR="00E82831" w:rsidRPr="005206CA">
        <w:rPr>
          <w:rStyle w:val="SectionChapterChar"/>
        </w:rPr>
        <w:fldChar w:fldCharType="begin"/>
      </w:r>
      <w:r w:rsidR="00E82831" w:rsidRPr="005206CA">
        <w:rPr>
          <w:rStyle w:val="SectionChapterChar"/>
        </w:rPr>
        <w:instrText xml:space="preserve"> REF _Ref500247696 \w \h </w:instrText>
      </w:r>
      <w:r w:rsidR="005206CA">
        <w:rPr>
          <w:rStyle w:val="SectionChapterChar"/>
        </w:rPr>
        <w:instrText xml:space="preserve"> \* MERGEFORMAT </w:instrText>
      </w:r>
      <w:r w:rsidR="00E82831" w:rsidRPr="005206CA">
        <w:rPr>
          <w:rStyle w:val="SectionChapterChar"/>
        </w:rPr>
      </w:r>
      <w:r w:rsidR="00E82831" w:rsidRPr="005206CA">
        <w:rPr>
          <w:rStyle w:val="SectionChapterChar"/>
        </w:rPr>
        <w:fldChar w:fldCharType="separate"/>
      </w:r>
      <w:r w:rsidR="00FA2002">
        <w:rPr>
          <w:rStyle w:val="SectionChapterChar"/>
        </w:rPr>
        <w:t>7.4</w:t>
      </w:r>
      <w:r w:rsidR="00E82831" w:rsidRPr="005206CA">
        <w:rPr>
          <w:rStyle w:val="SectionChapterChar"/>
        </w:rPr>
        <w:fldChar w:fldCharType="end"/>
      </w:r>
      <w:r w:rsidR="00FD6548" w:rsidRPr="005206CA">
        <w:t>)</w:t>
      </w:r>
      <w:r w:rsidR="00771A73" w:rsidRPr="005206CA">
        <w:t xml:space="preserve"> (</w:t>
      </w:r>
      <w:r w:rsidR="00771A73" w:rsidRPr="005206CA">
        <w:rPr>
          <w:rStyle w:val="In-textChar"/>
        </w:rPr>
        <w:t xml:space="preserve">CER </w:t>
      </w:r>
      <w:r w:rsidR="00E66395" w:rsidRPr="005206CA">
        <w:rPr>
          <w:rStyle w:val="In-textChar"/>
        </w:rPr>
        <w:t>2017</w:t>
      </w:r>
      <w:r w:rsidR="0094547E" w:rsidRPr="005206CA">
        <w:rPr>
          <w:rStyle w:val="In-textChar"/>
        </w:rPr>
        <w:t>n</w:t>
      </w:r>
      <w:r w:rsidR="00771A73" w:rsidRPr="005206CA">
        <w:t>)</w:t>
      </w:r>
      <w:r w:rsidR="0090555F" w:rsidRPr="005206CA">
        <w:t>. Further, 12 per cent of all contracts are still subject to conditions precedent</w:t>
      </w:r>
      <w:r w:rsidR="0055248E" w:rsidRPr="005206CA">
        <w:t xml:space="preserve"> </w:t>
      </w:r>
      <w:r w:rsidR="00771A73" w:rsidRPr="005206CA">
        <w:t>(</w:t>
      </w:r>
      <w:r w:rsidR="00771A73" w:rsidRPr="005206CA">
        <w:rPr>
          <w:rStyle w:val="In-textChar"/>
        </w:rPr>
        <w:t>CER</w:t>
      </w:r>
      <w:r w:rsidR="00DC0DA6" w:rsidRPr="005206CA">
        <w:rPr>
          <w:rStyle w:val="In-textChar"/>
        </w:rPr>
        <w:t xml:space="preserve"> 2017e, pers comm</w:t>
      </w:r>
      <w:r w:rsidR="00771A73" w:rsidRPr="005206CA">
        <w:t>)</w:t>
      </w:r>
      <w:r w:rsidR="0090555F" w:rsidRPr="005206CA">
        <w:t>. These contracts may not proceed if conditions are not met.</w:t>
      </w:r>
      <w:r w:rsidR="0060396A" w:rsidRPr="005206CA">
        <w:t xml:space="preserve"> </w:t>
      </w:r>
      <w:r w:rsidR="000F792B">
        <w:t>However, t</w:t>
      </w:r>
      <w:r w:rsidR="0060396A" w:rsidRPr="005206CA">
        <w:t xml:space="preserve">o date, </w:t>
      </w:r>
      <w:r w:rsidR="0055248E" w:rsidRPr="005206CA">
        <w:t xml:space="preserve">only </w:t>
      </w:r>
      <w:r w:rsidR="0060396A" w:rsidRPr="005206CA">
        <w:t>eight contracts, amounting to 5</w:t>
      </w:r>
      <w:r w:rsidR="000F792B">
        <w:t> </w:t>
      </w:r>
      <w:r w:rsidR="0060396A" w:rsidRPr="005206CA">
        <w:t xml:space="preserve">Mt of </w:t>
      </w:r>
      <w:r w:rsidR="00331A9C" w:rsidRPr="005206CA">
        <w:t>abatement</w:t>
      </w:r>
      <w:r w:rsidR="0060396A" w:rsidRPr="005206CA">
        <w:t xml:space="preserve"> have lapsed or terminated after auction</w:t>
      </w:r>
      <w:r w:rsidR="00771A73" w:rsidRPr="005206CA">
        <w:t xml:space="preserve"> </w:t>
      </w:r>
      <w:r w:rsidR="0055248E" w:rsidRPr="005206CA">
        <w:t xml:space="preserve">including as a result of conditions precedents not being met </w:t>
      </w:r>
      <w:r w:rsidR="00771A73" w:rsidRPr="005206CA">
        <w:t>(</w:t>
      </w:r>
      <w:r w:rsidR="00771A73" w:rsidRPr="005206CA">
        <w:rPr>
          <w:rStyle w:val="In-textChar"/>
        </w:rPr>
        <w:t xml:space="preserve">CER </w:t>
      </w:r>
      <w:r w:rsidR="00B4754E" w:rsidRPr="005206CA">
        <w:rPr>
          <w:rStyle w:val="In-textChar"/>
        </w:rPr>
        <w:t>2017k</w:t>
      </w:r>
      <w:r w:rsidR="00771A73" w:rsidRPr="005206CA">
        <w:t>)</w:t>
      </w:r>
      <w:r w:rsidR="0060396A" w:rsidRPr="005206CA">
        <w:t xml:space="preserve">. </w:t>
      </w:r>
    </w:p>
    <w:p w14:paraId="6E83CA95" w14:textId="602AD82D" w:rsidR="006D0CD4" w:rsidRPr="005206CA" w:rsidRDefault="00EA66A4">
      <w:pPr>
        <w:pStyle w:val="Heading2"/>
      </w:pPr>
      <w:bookmarkStart w:id="1407" w:name="_Toc500489641"/>
      <w:bookmarkStart w:id="1408" w:name="_Toc500491003"/>
      <w:bookmarkStart w:id="1409" w:name="_Toc500510010"/>
      <w:bookmarkStart w:id="1410" w:name="_Toc500511268"/>
      <w:bookmarkStart w:id="1411" w:name="_Toc500513959"/>
      <w:bookmarkStart w:id="1412" w:name="_Toc500514200"/>
      <w:bookmarkStart w:id="1413" w:name="_Toc500514387"/>
      <w:bookmarkStart w:id="1414" w:name="_Toc498690856"/>
      <w:bookmarkStart w:id="1415" w:name="_Toc498692217"/>
      <w:bookmarkStart w:id="1416" w:name="_Toc498690857"/>
      <w:bookmarkStart w:id="1417" w:name="_Toc498692218"/>
      <w:bookmarkStart w:id="1418" w:name="_Toc498690858"/>
      <w:bookmarkStart w:id="1419" w:name="_Toc498692219"/>
      <w:bookmarkStart w:id="1420" w:name="_Toc497819512"/>
      <w:bookmarkStart w:id="1421" w:name="_Toc498691581"/>
      <w:bookmarkStart w:id="1422" w:name="_Toc499043759"/>
      <w:bookmarkStart w:id="1423" w:name="_Toc499051784"/>
      <w:bookmarkStart w:id="1424" w:name="_Ref500248147"/>
      <w:bookmarkStart w:id="1425" w:name="_Toc500251137"/>
      <w:bookmarkStart w:id="1426" w:name="_Toc500251412"/>
      <w:bookmarkStart w:id="1427" w:name="_Toc500254009"/>
      <w:bookmarkStart w:id="1428" w:name="_Toc500401516"/>
      <w:bookmarkStart w:id="1429" w:name="_Toc500491005"/>
      <w:bookmarkStart w:id="1430" w:name="_Toc500512942"/>
      <w:bookmarkStart w:id="1431" w:name="_Toc500514202"/>
      <w:bookmarkStart w:id="1432" w:name="_Toc500516254"/>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5206CA">
        <w:t xml:space="preserve">Delivery risks under the </w:t>
      </w:r>
      <w:r w:rsidR="00894D54" w:rsidRPr="005206CA">
        <w:t>E</w:t>
      </w:r>
      <w:r w:rsidR="00A31027" w:rsidRPr="005206CA">
        <w:t xml:space="preserve">missions </w:t>
      </w:r>
      <w:r w:rsidR="00894D54" w:rsidRPr="005206CA">
        <w:t>R</w:t>
      </w:r>
      <w:r w:rsidR="00A31027" w:rsidRPr="005206CA">
        <w:t xml:space="preserve">eduction </w:t>
      </w:r>
      <w:r w:rsidR="00894D54" w:rsidRPr="005206CA">
        <w:t>F</w:t>
      </w:r>
      <w:bookmarkEnd w:id="1420"/>
      <w:bookmarkEnd w:id="1421"/>
      <w:bookmarkEnd w:id="1422"/>
      <w:bookmarkEnd w:id="1423"/>
      <w:r w:rsidR="00A31027" w:rsidRPr="005206CA">
        <w:t>und</w:t>
      </w:r>
      <w:bookmarkEnd w:id="1424"/>
      <w:bookmarkEnd w:id="1425"/>
      <w:bookmarkEnd w:id="1426"/>
      <w:bookmarkEnd w:id="1427"/>
      <w:bookmarkEnd w:id="1428"/>
      <w:bookmarkEnd w:id="1429"/>
      <w:bookmarkEnd w:id="1430"/>
      <w:bookmarkEnd w:id="1431"/>
      <w:bookmarkEnd w:id="1432"/>
    </w:p>
    <w:p w14:paraId="50FFB488" w14:textId="464AE856" w:rsidR="006D0CD4" w:rsidRPr="005206CA" w:rsidRDefault="006D0CD4" w:rsidP="006D0CD4">
      <w:r w:rsidRPr="005206CA">
        <w:t xml:space="preserve">To be able to bid into an ERF auction and enter into a carbon abatement contract with the Government, </w:t>
      </w:r>
      <w:r w:rsidR="002B7B1D">
        <w:t xml:space="preserve">scheme </w:t>
      </w:r>
      <w:r w:rsidRPr="005206CA">
        <w:t>participants must register their project with the CER and provide a forward abatement estimate, which is used by the CER to determine audit schedules and assess whether the abatement volumes in the auction bids are reasonable. However, the make</w:t>
      </w:r>
      <w:r w:rsidR="00FD10B2" w:rsidRPr="005206CA">
        <w:t>-</w:t>
      </w:r>
      <w:r w:rsidRPr="005206CA">
        <w:t xml:space="preserve">good provisions in ERF contracts mean that scheme participants are not required to deliver any ACCUs from the project they use to make a bid at auction. The </w:t>
      </w:r>
      <w:r w:rsidR="006517B3">
        <w:t>scheme</w:t>
      </w:r>
      <w:r w:rsidRPr="005206CA">
        <w:t xml:space="preserve"> participant can meet their contract obligation with ACCUs generated by another project altogether or purchased in the secondary market (although only ACCUs can be used to make good</w:t>
      </w:r>
      <w:r w:rsidR="00982CD7" w:rsidRPr="005206CA">
        <w:t>)</w:t>
      </w:r>
      <w:r w:rsidRPr="005206CA">
        <w:t xml:space="preserve">. This flexibility is intended to allow emissions reductions to be delivered in the most cost effective way </w:t>
      </w:r>
      <w:r w:rsidR="00890535" w:rsidRPr="005206CA">
        <w:t>as scheme participants can meet their contractual obligations using ACCUs that cost less than ones from project</w:t>
      </w:r>
      <w:r w:rsidR="00890535" w:rsidRPr="005206CA" w:rsidDel="00906A7D">
        <w:t>s</w:t>
      </w:r>
      <w:r w:rsidR="00890535" w:rsidRPr="005206CA">
        <w:t xml:space="preserve"> they invest in</w:t>
      </w:r>
      <w:r w:rsidR="00890535" w:rsidRPr="005206CA" w:rsidDel="00906A7D">
        <w:t xml:space="preserve"> directly</w:t>
      </w:r>
      <w:r w:rsidR="00890535" w:rsidRPr="005206CA">
        <w:t>. It also helps</w:t>
      </w:r>
      <w:r w:rsidRPr="005206CA" w:rsidDel="006517B3">
        <w:t xml:space="preserve"> </w:t>
      </w:r>
      <w:r w:rsidR="006517B3">
        <w:t>scheme</w:t>
      </w:r>
      <w:r w:rsidR="006517B3" w:rsidRPr="005206CA">
        <w:t xml:space="preserve"> </w:t>
      </w:r>
      <w:r w:rsidRPr="005206CA">
        <w:t>participants to meet their emissions reduction</w:t>
      </w:r>
      <w:r w:rsidR="00982CD7" w:rsidRPr="005206CA">
        <w:t>s</w:t>
      </w:r>
      <w:r w:rsidRPr="005206CA">
        <w:t xml:space="preserve"> commitments regardless of changes in individual projects</w:t>
      </w:r>
      <w:r w:rsidR="00982CD7" w:rsidRPr="005206CA">
        <w:t>.</w:t>
      </w:r>
    </w:p>
    <w:p w14:paraId="7CBDAFBA" w14:textId="4B64F832" w:rsidR="006D0CD4" w:rsidRPr="005206CA" w:rsidRDefault="006D0CD4" w:rsidP="006D0CD4">
      <w:r w:rsidRPr="005206CA">
        <w:t xml:space="preserve">The effective decoupling of ACCU delivery from projects bid at auction raises some concerns for the Authority. Most importantly, the Authority is concerned that there is a risk that such decoupling may lead to a growing mismatch between contracted projects and ACCUs available to meet ERF contractual obligations. This could lead to the ERF being unable to deliver a significant volume of contracted ACCUs, meaning it could fail to meet one of its key objectives, which is to reduce domestic emissions. Such a short fall may not become evident until the later years of the ERF when </w:t>
      </w:r>
      <w:r w:rsidR="002B7B1D">
        <w:t xml:space="preserve">scheme </w:t>
      </w:r>
      <w:r w:rsidRPr="005206CA">
        <w:t xml:space="preserve">participants are required to deliver on all of the remaining ACCUs at the end of their contracts. </w:t>
      </w:r>
    </w:p>
    <w:p w14:paraId="140B691C" w14:textId="49CDE069" w:rsidR="006D0CD4" w:rsidRPr="005206CA" w:rsidRDefault="006D0CD4" w:rsidP="006D0CD4">
      <w:r w:rsidRPr="005206CA">
        <w:t xml:space="preserve">The Authority is also aware that some scheme participants use small ‘anchor projects’ to demonstrate how they intend to contract with other parties and deliver a larger </w:t>
      </w:r>
      <w:r w:rsidR="00E7729F" w:rsidRPr="005206CA">
        <w:t>volume</w:t>
      </w:r>
      <w:r w:rsidRPr="005206CA">
        <w:t xml:space="preserve"> of ACCUs than will be available from the anchor project. There is a risk that these currently undeveloped projects will not go ahead and </w:t>
      </w:r>
      <w:r w:rsidR="002B7B1D">
        <w:t xml:space="preserve">scheme </w:t>
      </w:r>
      <w:r w:rsidR="00982CD7" w:rsidRPr="005206CA">
        <w:t xml:space="preserve">participants </w:t>
      </w:r>
      <w:r w:rsidRPr="005206CA">
        <w:t>will instead rely on the secondary market to deliver on all or most of their ERF contract</w:t>
      </w:r>
      <w:r w:rsidR="00982CD7" w:rsidRPr="005206CA">
        <w:t>ual</w:t>
      </w:r>
      <w:r w:rsidRPr="005206CA">
        <w:t xml:space="preserve"> obligations.</w:t>
      </w:r>
    </w:p>
    <w:p w14:paraId="0182E98A" w14:textId="76F1401E" w:rsidR="008C31C2" w:rsidRPr="005206CA" w:rsidRDefault="008C31C2" w:rsidP="006D0CD4">
      <w:r w:rsidRPr="005206CA">
        <w:t>To help address this risk, the CER has clarified its expectations that scheme participants will deliver ACCUs from projects registered at auction and is using conditions precedents in its more recent ERF contracts to check delivery risk earlier in the life of the contracts</w:t>
      </w:r>
      <w:r w:rsidR="003E2234" w:rsidRPr="005206CA">
        <w:t xml:space="preserve"> (</w:t>
      </w:r>
      <w:r w:rsidR="003E2234" w:rsidRPr="00AC7279">
        <w:rPr>
          <w:rStyle w:val="In-textChar"/>
        </w:rPr>
        <w:t>CER 2017</w:t>
      </w:r>
      <w:r w:rsidR="00DC0DA6" w:rsidRPr="005206CA">
        <w:rPr>
          <w:rStyle w:val="In-textChar"/>
        </w:rPr>
        <w:t>i</w:t>
      </w:r>
      <w:r w:rsidR="003E2234" w:rsidRPr="005206CA">
        <w:t>)</w:t>
      </w:r>
      <w:r w:rsidRPr="005206CA">
        <w:t>.</w:t>
      </w:r>
    </w:p>
    <w:p w14:paraId="14CC1870" w14:textId="42C010FF" w:rsidR="006D0CD4" w:rsidRPr="005206CA" w:rsidRDefault="006D0CD4" w:rsidP="006D0CD4">
      <w:r w:rsidRPr="005206CA">
        <w:t xml:space="preserve">The shortfall risk increases if demand on the secondary market rises (as a result of other government policies like the safeguard or the National Energy Guarantee emissions </w:t>
      </w:r>
      <w:r w:rsidR="004D5389">
        <w:t>requirement</w:t>
      </w:r>
      <w:r w:rsidRPr="005206CA">
        <w:t xml:space="preserve">) or if the secondary market is not functioning effectively due to a lack of information or investment certainty. The Authority has made recommendations on ways to improve the functioning of the secondary market in </w:t>
      </w:r>
      <w:r w:rsidR="00135A8E" w:rsidRPr="00AC7279">
        <w:rPr>
          <w:rStyle w:val="SectionChapterChar"/>
        </w:rPr>
        <w:fldChar w:fldCharType="begin"/>
      </w:r>
      <w:r w:rsidR="00135A8E" w:rsidRPr="00AC7279">
        <w:rPr>
          <w:rStyle w:val="SectionChapterChar"/>
        </w:rPr>
        <w:instrText xml:space="preserve"> REF _Ref497377904 \n \h </w:instrText>
      </w:r>
      <w:r w:rsidR="007825DD" w:rsidRPr="00AC7279">
        <w:rPr>
          <w:rStyle w:val="SectionChapterChar"/>
        </w:rPr>
        <w:instrText xml:space="preserve"> \* MERGEFORMAT </w:instrText>
      </w:r>
      <w:r w:rsidR="00135A8E" w:rsidRPr="00AC7279">
        <w:rPr>
          <w:rStyle w:val="SectionChapterChar"/>
        </w:rPr>
      </w:r>
      <w:r w:rsidR="00135A8E" w:rsidRPr="00AC7279">
        <w:rPr>
          <w:rStyle w:val="SectionChapterChar"/>
        </w:rPr>
        <w:fldChar w:fldCharType="separate"/>
      </w:r>
      <w:r w:rsidR="00FA2002">
        <w:rPr>
          <w:rStyle w:val="SectionChapterChar"/>
        </w:rPr>
        <w:t>Chapter 11</w:t>
      </w:r>
      <w:r w:rsidR="00135A8E" w:rsidRPr="00AC7279">
        <w:rPr>
          <w:rStyle w:val="SectionChapterChar"/>
        </w:rPr>
        <w:fldChar w:fldCharType="end"/>
      </w:r>
      <w:r w:rsidRPr="00AC7279">
        <w:rPr>
          <w:rStyle w:val="SectionChapterChar"/>
        </w:rPr>
        <w:t>.</w:t>
      </w:r>
      <w:r w:rsidRPr="005206CA">
        <w:t xml:space="preserve"> </w:t>
      </w:r>
    </w:p>
    <w:p w14:paraId="74D23C2D" w14:textId="5D58D3BD" w:rsidR="006D0CD4" w:rsidRPr="005206CA" w:rsidRDefault="006D0CD4" w:rsidP="006D0CD4">
      <w:r w:rsidRPr="005206CA">
        <w:t>Strong administrative and compliance regimes are also important factors in addressing this risk (</w:t>
      </w:r>
      <w:r w:rsidR="0001584E" w:rsidRPr="005206CA">
        <w:rPr>
          <w:rStyle w:val="SectionChapterChar"/>
        </w:rPr>
        <w:fldChar w:fldCharType="begin"/>
      </w:r>
      <w:r w:rsidR="0001584E" w:rsidRPr="0033387E">
        <w:rPr>
          <w:rStyle w:val="SectionChapterChar"/>
        </w:rPr>
        <w:instrText xml:space="preserve"> REF _Ref500247977 \w \h </w:instrText>
      </w:r>
      <w:r w:rsidR="0001584E" w:rsidRP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Chapter 12</w:t>
      </w:r>
      <w:r w:rsidR="0001584E" w:rsidRPr="005206CA">
        <w:rPr>
          <w:rStyle w:val="SectionChapterChar"/>
        </w:rPr>
        <w:fldChar w:fldCharType="end"/>
      </w:r>
      <w:r w:rsidRPr="005206CA">
        <w:t>). To that end, the CER has recently announced that ‘the performance of the participant or any of their authorised representatives under any contract entered into by them’ (</w:t>
      </w:r>
      <w:r w:rsidRPr="005206CA">
        <w:rPr>
          <w:rStyle w:val="In-textChar"/>
        </w:rPr>
        <w:t xml:space="preserve">CER </w:t>
      </w:r>
      <w:r w:rsidR="00B97891" w:rsidRPr="005206CA">
        <w:rPr>
          <w:rStyle w:val="In-textChar"/>
        </w:rPr>
        <w:t>2017</w:t>
      </w:r>
      <w:r w:rsidR="00DC0DA6" w:rsidRPr="005206CA">
        <w:rPr>
          <w:rStyle w:val="In-textChar"/>
        </w:rPr>
        <w:t>l</w:t>
      </w:r>
      <w:r w:rsidRPr="005206CA">
        <w:t>) will be considered when qualifying and registering them for auction to reduce the risk that they will contract with parties with minimal ability to deliver against their contracts.</w:t>
      </w:r>
    </w:p>
    <w:p w14:paraId="405B9318" w14:textId="77777777" w:rsidR="006D0CD4" w:rsidRPr="005206CA" w:rsidRDefault="006D0CD4" w:rsidP="006D0CD4">
      <w:r w:rsidRPr="005206CA">
        <w:t>The Authority considers that it is anomalous and inefficient to require scheme participants to register projects and bid at auction on the basis of projects that are not required to deliver any abatement at all into the scheme.</w:t>
      </w:r>
    </w:p>
    <w:p w14:paraId="1426C63B" w14:textId="77777777" w:rsidR="006D0CD4" w:rsidRPr="005206CA" w:rsidRDefault="006D0CD4" w:rsidP="006D0CD4">
      <w:r w:rsidRPr="005206CA">
        <w:t>One option to address these issues would be to change the auction rules and allow participants to bid without registering a project. Bids would then more explicitly reflect expectations about the availability and price of ACCUs on the secondary market. If adopted, this approach could be more administratively efficient but could create an even greater mismatch between ACCUs that can be delivered from projects and ACCUs under contract.</w:t>
      </w:r>
    </w:p>
    <w:p w14:paraId="2E8F75FD" w14:textId="77777777" w:rsidR="006D0CD4" w:rsidRPr="005206CA" w:rsidRDefault="006D0CD4" w:rsidP="006D0CD4">
      <w:r w:rsidRPr="005206CA">
        <w:t>The Authority is aware that some stakeholders see the risk of Australia not meeting its Paris Agreement target</w:t>
      </w:r>
      <w:r w:rsidRPr="005206CA" w:rsidDel="006517B3">
        <w:t>s</w:t>
      </w:r>
      <w:r w:rsidRPr="005206CA">
        <w:t xml:space="preserve"> because of non-delivery from the ERF as low. This is because the Government will retain the contracted funds if delivery failures occur and can purchase abatement from elsewhere (such as international units) if it is needed to meet Australia’s international target obligations. </w:t>
      </w:r>
    </w:p>
    <w:p w14:paraId="50AE395C" w14:textId="77777777" w:rsidR="006D0CD4" w:rsidRPr="005206CA" w:rsidRDefault="006D0CD4" w:rsidP="006D0CD4">
      <w:r w:rsidRPr="005206CA">
        <w:t xml:space="preserve">The risk of non-delivery would be less if there is an effectively functioning secondary market as potential investors could be expected to respond to shortfalls in contracted ACCUs by investing in new projects. </w:t>
      </w:r>
    </w:p>
    <w:p w14:paraId="46DB5F14" w14:textId="0E4B4B6C" w:rsidR="006D0CD4" w:rsidRPr="005206CA" w:rsidRDefault="006D0CD4" w:rsidP="006D0CD4">
      <w:r w:rsidRPr="005206CA">
        <w:t>On balance, after taking into account the risks of delivery failure and the current lack of liquidity in the secondary market, the Authority recommends that there should be a minimum delivery obligation for all projects under future ERF contracts, in the range of 30-50 per cent of ACCUs. Make good using ACCUs from projects that were not subject to the participant’s auction bid would only be permitted up to the level of the pre-set make</w:t>
      </w:r>
      <w:r w:rsidR="00FD10B2" w:rsidRPr="005206CA">
        <w:t>-</w:t>
      </w:r>
      <w:r w:rsidRPr="005206CA">
        <w:t>good limit (i.e. 50</w:t>
      </w:r>
      <w:r w:rsidR="005E2315" w:rsidRPr="005206CA">
        <w:noBreakHyphen/>
      </w:r>
      <w:r w:rsidR="00BD32EF" w:rsidRPr="005206CA">
        <w:t>70</w:t>
      </w:r>
      <w:r w:rsidR="005E2315" w:rsidRPr="005206CA">
        <w:t> </w:t>
      </w:r>
      <w:r w:rsidRPr="005206CA">
        <w:t>per cent). Failure to deliver the contracted minimum will also attract compliance penalties for non-delivery including market damages.</w:t>
      </w:r>
    </w:p>
    <w:p w14:paraId="68DB683E" w14:textId="77777777" w:rsidR="00EA66A4" w:rsidRPr="005206CA" w:rsidRDefault="006D0CD4" w:rsidP="00EA66A4">
      <w:r w:rsidRPr="005206CA">
        <w:t xml:space="preserve">While the Authority is aware that such a restriction may increase the price of abatement at auction, the Authority is of the view that securing domestic abatement is a key objective of the ERF and the delivery risk needs to be managed. </w:t>
      </w:r>
    </w:p>
    <w:p w14:paraId="443AF488" w14:textId="6DA5A391" w:rsidR="00886CFC" w:rsidRPr="005206CA" w:rsidRDefault="00F636BC" w:rsidP="00EA66A4">
      <w:r w:rsidRPr="005206CA">
        <w:t>A minimum delivery obligation would</w:t>
      </w:r>
      <w:r w:rsidR="0000715B" w:rsidRPr="005206CA">
        <w:t xml:space="preserve"> have implications for the size and selection of anchor projects. For example, to meet </w:t>
      </w:r>
      <w:r w:rsidR="00285D61" w:rsidRPr="005206CA">
        <w:t xml:space="preserve">a minimum delivery obligation of 30 per cent </w:t>
      </w:r>
      <w:r w:rsidR="0000715B" w:rsidRPr="005206CA">
        <w:t>for a contract of 10,000 ACCUs, the anchor project w</w:t>
      </w:r>
      <w:r w:rsidR="00285D61" w:rsidRPr="005206CA">
        <w:t>ould</w:t>
      </w:r>
      <w:r w:rsidR="0000715B" w:rsidRPr="005206CA">
        <w:t xml:space="preserve"> need to </w:t>
      </w:r>
      <w:r w:rsidR="00EF1449" w:rsidRPr="005206CA">
        <w:t xml:space="preserve">be able to </w:t>
      </w:r>
      <w:r w:rsidR="0000715B" w:rsidRPr="005206CA">
        <w:t>deliver at least 3,000 ACCUs</w:t>
      </w:r>
      <w:r w:rsidR="00EF1449" w:rsidRPr="005206CA">
        <w:t xml:space="preserve">. </w:t>
      </w:r>
    </w:p>
    <w:tbl>
      <w:tblPr>
        <w:tblStyle w:val="TableGrid"/>
        <w:tblW w:w="0" w:type="auto"/>
        <w:shd w:val="clear" w:color="auto" w:fill="E6ECF2"/>
        <w:tblLook w:val="04A0" w:firstRow="1" w:lastRow="0" w:firstColumn="1" w:lastColumn="0" w:noHBand="0" w:noVBand="1"/>
      </w:tblPr>
      <w:tblGrid>
        <w:gridCol w:w="9202"/>
      </w:tblGrid>
      <w:tr w:rsidR="00EA66A4" w:rsidRPr="005206CA" w14:paraId="4821A785" w14:textId="77777777" w:rsidTr="00EA66A4">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24C3CF5D" w14:textId="77777777" w:rsidR="00EA66A4" w:rsidRPr="005206CA" w:rsidRDefault="00EA66A4">
            <w:pPr>
              <w:rPr>
                <w:rFonts w:cs="Arial"/>
                <w:b/>
                <w:color w:val="159DCE"/>
                <w:sz w:val="18"/>
                <w:szCs w:val="18"/>
              </w:rPr>
            </w:pPr>
            <w:r w:rsidRPr="005206CA">
              <w:rPr>
                <w:rFonts w:cs="Arial"/>
                <w:b/>
                <w:color w:val="159DCE"/>
                <w:sz w:val="18"/>
                <w:szCs w:val="18"/>
              </w:rPr>
              <w:t>RECOMMENDATION</w:t>
            </w:r>
          </w:p>
          <w:p w14:paraId="06F6E0FB" w14:textId="37F95615" w:rsidR="00EA66A4" w:rsidRPr="005206CA" w:rsidRDefault="00EA66A4" w:rsidP="00234665">
            <w:pPr>
              <w:spacing w:after="140" w:line="320" w:lineRule="exact"/>
              <w:ind w:left="851" w:hanging="851"/>
              <w:rPr>
                <w:rFonts w:cs="Arial"/>
                <w:color w:val="414141"/>
                <w:sz w:val="18"/>
                <w:szCs w:val="18"/>
              </w:rPr>
            </w:pPr>
            <w:bookmarkStart w:id="1433" w:name="_Ref497828297"/>
            <w:bookmarkStart w:id="1434" w:name="_Toc497316911"/>
            <w:bookmarkStart w:id="1435" w:name="_Toc497827454"/>
            <w:bookmarkStart w:id="1436" w:name="_Toc497834090"/>
            <w:bookmarkStart w:id="1437" w:name="_Toc498534533"/>
            <w:bookmarkStart w:id="1438" w:name="_Toc498614728"/>
            <w:bookmarkStart w:id="1439" w:name="_Toc498691483"/>
            <w:bookmarkStart w:id="1440" w:name="_Toc499051682"/>
            <w:bookmarkStart w:id="1441" w:name="_Toc499202067"/>
            <w:bookmarkStart w:id="1442" w:name="_Toc499892351"/>
            <w:bookmarkStart w:id="1443" w:name="_Toc499898712"/>
            <w:bookmarkStart w:id="1444" w:name="_Toc499899352"/>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22</w:t>
            </w:r>
            <w:r w:rsidRPr="005206CA">
              <w:fldChar w:fldCharType="end"/>
            </w:r>
            <w:bookmarkEnd w:id="1433"/>
            <w:r w:rsidR="005D41E0">
              <w:t>.</w:t>
            </w:r>
            <w:r w:rsidRPr="005206CA">
              <w:rPr>
                <w:rFonts w:cs="Arial"/>
                <w:sz w:val="18"/>
                <w:szCs w:val="18"/>
              </w:rPr>
              <w:t xml:space="preserve"> </w:t>
            </w:r>
            <w:r w:rsidR="00044758" w:rsidRPr="005206CA">
              <w:rPr>
                <w:rFonts w:cs="Arial"/>
                <w:sz w:val="18"/>
                <w:szCs w:val="18"/>
              </w:rPr>
              <w:tab/>
            </w:r>
            <w:bookmarkStart w:id="1445" w:name="_Ref500236888"/>
            <w:r w:rsidRPr="005206CA">
              <w:rPr>
                <w:rFonts w:cs="Arial"/>
                <w:sz w:val="18"/>
                <w:szCs w:val="18"/>
              </w:rPr>
              <w:t xml:space="preserve">The </w:t>
            </w:r>
            <w:r w:rsidR="00E827D8" w:rsidRPr="005206CA">
              <w:rPr>
                <w:rFonts w:cs="Arial"/>
                <w:sz w:val="18"/>
                <w:szCs w:val="18"/>
              </w:rPr>
              <w:t>C</w:t>
            </w:r>
            <w:r w:rsidR="00951588" w:rsidRPr="005206CA">
              <w:rPr>
                <w:rFonts w:cs="Arial"/>
                <w:sz w:val="18"/>
                <w:szCs w:val="18"/>
              </w:rPr>
              <w:t xml:space="preserve">lean </w:t>
            </w:r>
            <w:r w:rsidR="00E827D8" w:rsidRPr="005206CA">
              <w:rPr>
                <w:rFonts w:cs="Arial"/>
                <w:sz w:val="18"/>
                <w:szCs w:val="18"/>
              </w:rPr>
              <w:t>E</w:t>
            </w:r>
            <w:r w:rsidR="00951588" w:rsidRPr="005206CA">
              <w:rPr>
                <w:rFonts w:cs="Arial"/>
                <w:sz w:val="18"/>
                <w:szCs w:val="18"/>
              </w:rPr>
              <w:t xml:space="preserve">nergy </w:t>
            </w:r>
            <w:r w:rsidR="00E827D8" w:rsidRPr="005206CA">
              <w:rPr>
                <w:rFonts w:cs="Arial"/>
                <w:sz w:val="18"/>
                <w:szCs w:val="18"/>
              </w:rPr>
              <w:t>R</w:t>
            </w:r>
            <w:r w:rsidR="00951588" w:rsidRPr="005206CA">
              <w:rPr>
                <w:rFonts w:cs="Arial"/>
                <w:sz w:val="18"/>
                <w:szCs w:val="18"/>
              </w:rPr>
              <w:t>egulator</w:t>
            </w:r>
            <w:r w:rsidR="00E827D8" w:rsidRPr="005206CA">
              <w:rPr>
                <w:rFonts w:cs="Arial"/>
                <w:sz w:val="18"/>
                <w:szCs w:val="18"/>
              </w:rPr>
              <w:t xml:space="preserve"> require</w:t>
            </w:r>
            <w:r w:rsidRPr="005206CA">
              <w:rPr>
                <w:rFonts w:cs="Arial"/>
                <w:sz w:val="18"/>
                <w:szCs w:val="18"/>
              </w:rPr>
              <w:t xml:space="preserve"> scheme participants to deliver a minimum of 30</w:t>
            </w:r>
            <w:r w:rsidR="005E2315" w:rsidRPr="005206CA">
              <w:rPr>
                <w:rFonts w:cs="Arial"/>
                <w:sz w:val="18"/>
                <w:szCs w:val="18"/>
              </w:rPr>
              <w:noBreakHyphen/>
            </w:r>
            <w:r w:rsidRPr="005206CA">
              <w:rPr>
                <w:rFonts w:cs="Arial"/>
                <w:sz w:val="18"/>
                <w:szCs w:val="18"/>
              </w:rPr>
              <w:t>50</w:t>
            </w:r>
            <w:r w:rsidR="005E2315" w:rsidRPr="005206CA">
              <w:rPr>
                <w:rFonts w:cs="Arial"/>
                <w:sz w:val="18"/>
                <w:szCs w:val="18"/>
              </w:rPr>
              <w:t> </w:t>
            </w:r>
            <w:r w:rsidRPr="005206CA">
              <w:rPr>
                <w:rFonts w:cs="Arial"/>
                <w:sz w:val="18"/>
                <w:szCs w:val="18"/>
              </w:rPr>
              <w:t>per cent of A</w:t>
            </w:r>
            <w:r w:rsidR="00951588" w:rsidRPr="005206CA">
              <w:rPr>
                <w:rFonts w:cs="Arial"/>
                <w:sz w:val="18"/>
                <w:szCs w:val="18"/>
              </w:rPr>
              <w:t xml:space="preserve">ustralian </w:t>
            </w:r>
            <w:r w:rsidRPr="005206CA">
              <w:rPr>
                <w:rFonts w:cs="Arial"/>
                <w:sz w:val="18"/>
                <w:szCs w:val="18"/>
              </w:rPr>
              <w:t>C</w:t>
            </w:r>
            <w:r w:rsidR="00951588" w:rsidRPr="005206CA">
              <w:rPr>
                <w:rFonts w:cs="Arial"/>
                <w:sz w:val="18"/>
                <w:szCs w:val="18"/>
              </w:rPr>
              <w:t xml:space="preserve">arbon </w:t>
            </w:r>
            <w:r w:rsidRPr="005206CA">
              <w:rPr>
                <w:rFonts w:cs="Arial"/>
                <w:sz w:val="18"/>
                <w:szCs w:val="18"/>
              </w:rPr>
              <w:t>C</w:t>
            </w:r>
            <w:r w:rsidR="00951588" w:rsidRPr="005206CA">
              <w:rPr>
                <w:rFonts w:cs="Arial"/>
                <w:sz w:val="18"/>
                <w:szCs w:val="18"/>
              </w:rPr>
              <w:t xml:space="preserve">redit </w:t>
            </w:r>
            <w:r w:rsidRPr="005206CA">
              <w:rPr>
                <w:rFonts w:cs="Arial"/>
                <w:sz w:val="18"/>
                <w:szCs w:val="18"/>
              </w:rPr>
              <w:t>U</w:t>
            </w:r>
            <w:r w:rsidR="00951588" w:rsidRPr="005206CA">
              <w:rPr>
                <w:rFonts w:cs="Arial"/>
                <w:sz w:val="18"/>
                <w:szCs w:val="18"/>
              </w:rPr>
              <w:t>nit</w:t>
            </w:r>
            <w:r w:rsidRPr="005206CA">
              <w:rPr>
                <w:rFonts w:cs="Arial"/>
                <w:sz w:val="18"/>
                <w:szCs w:val="18"/>
              </w:rPr>
              <w:t>s from the project</w:t>
            </w:r>
            <w:r w:rsidR="000F792B">
              <w:rPr>
                <w:rFonts w:cs="Arial"/>
                <w:sz w:val="18"/>
                <w:szCs w:val="18"/>
              </w:rPr>
              <w:t>s</w:t>
            </w:r>
            <w:r w:rsidRPr="005206CA">
              <w:rPr>
                <w:rFonts w:cs="Arial"/>
                <w:sz w:val="18"/>
                <w:szCs w:val="18"/>
              </w:rPr>
              <w:t xml:space="preserve"> they used to register at auction.</w:t>
            </w:r>
            <w:bookmarkEnd w:id="1434"/>
            <w:bookmarkEnd w:id="1435"/>
            <w:bookmarkEnd w:id="1436"/>
            <w:bookmarkEnd w:id="1437"/>
            <w:bookmarkEnd w:id="1438"/>
            <w:bookmarkEnd w:id="1439"/>
            <w:bookmarkEnd w:id="1440"/>
            <w:bookmarkEnd w:id="1441"/>
            <w:bookmarkEnd w:id="1442"/>
            <w:bookmarkEnd w:id="1443"/>
            <w:bookmarkEnd w:id="1444"/>
            <w:bookmarkEnd w:id="1445"/>
          </w:p>
        </w:tc>
      </w:tr>
    </w:tbl>
    <w:p w14:paraId="4E2464D8" w14:textId="77777777" w:rsidR="00EA66A4" w:rsidRPr="005206CA" w:rsidRDefault="00EA66A4" w:rsidP="006D0CD4"/>
    <w:p w14:paraId="653D8FE7" w14:textId="77777777" w:rsidR="006D0CD4" w:rsidRPr="005206CA" w:rsidRDefault="00EA66A4" w:rsidP="003221E8">
      <w:pPr>
        <w:pStyle w:val="Heading1"/>
        <w:numPr>
          <w:ilvl w:val="0"/>
          <w:numId w:val="44"/>
        </w:numPr>
      </w:pPr>
      <w:bookmarkStart w:id="1446" w:name="_Ref497377801"/>
      <w:bookmarkStart w:id="1447" w:name="_Ref497377844"/>
      <w:bookmarkStart w:id="1448" w:name="_Ref497377904"/>
      <w:bookmarkStart w:id="1449" w:name="_Ref497377982"/>
      <w:bookmarkStart w:id="1450" w:name="_Toc497819513"/>
      <w:bookmarkStart w:id="1451" w:name="_Toc498691582"/>
      <w:bookmarkStart w:id="1452" w:name="_Toc499043760"/>
      <w:bookmarkStart w:id="1453" w:name="_Toc499051785"/>
      <w:bookmarkStart w:id="1454" w:name="_Toc500251138"/>
      <w:bookmarkStart w:id="1455" w:name="_Toc500251413"/>
      <w:bookmarkStart w:id="1456" w:name="_Toc500254010"/>
      <w:bookmarkStart w:id="1457" w:name="_Toc500401517"/>
      <w:bookmarkStart w:id="1458" w:name="_Toc500491006"/>
      <w:bookmarkStart w:id="1459" w:name="_Toc500512943"/>
      <w:bookmarkStart w:id="1460" w:name="_Toc500514203"/>
      <w:bookmarkStart w:id="1461" w:name="_Toc500516255"/>
      <w:r w:rsidRPr="005206CA">
        <w:t>Secondary market</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05C67E2B" w14:textId="5B1AC070" w:rsidR="006D0CD4" w:rsidRPr="005206CA" w:rsidRDefault="006F4344">
      <w:pPr>
        <w:pStyle w:val="Heading2"/>
      </w:pPr>
      <w:bookmarkStart w:id="1462" w:name="_Toc497819514"/>
      <w:bookmarkStart w:id="1463" w:name="_Toc498691583"/>
      <w:bookmarkStart w:id="1464" w:name="_Toc499043761"/>
      <w:bookmarkStart w:id="1465" w:name="_Toc499051786"/>
      <w:bookmarkStart w:id="1466" w:name="_Toc500251139"/>
      <w:bookmarkStart w:id="1467" w:name="_Toc500251414"/>
      <w:bookmarkStart w:id="1468" w:name="_Toc500254011"/>
      <w:bookmarkStart w:id="1469" w:name="_Toc500401518"/>
      <w:bookmarkStart w:id="1470" w:name="_Toc500491007"/>
      <w:bookmarkStart w:id="1471" w:name="_Toc500512944"/>
      <w:bookmarkStart w:id="1472" w:name="_Toc500514204"/>
      <w:bookmarkStart w:id="1473" w:name="_Toc500516256"/>
      <w:r w:rsidRPr="005206CA">
        <w:t>The demand for A</w:t>
      </w:r>
      <w:r w:rsidR="005004A0" w:rsidRPr="005206CA">
        <w:t xml:space="preserve">ustralian </w:t>
      </w:r>
      <w:r w:rsidRPr="005206CA">
        <w:t>C</w:t>
      </w:r>
      <w:r w:rsidR="005004A0" w:rsidRPr="005206CA">
        <w:t xml:space="preserve">arbon </w:t>
      </w:r>
      <w:r w:rsidRPr="005206CA">
        <w:t>C</w:t>
      </w:r>
      <w:r w:rsidR="005004A0" w:rsidRPr="005206CA">
        <w:t xml:space="preserve">redit </w:t>
      </w:r>
      <w:r w:rsidRPr="005206CA">
        <w:t>U</w:t>
      </w:r>
      <w:r w:rsidR="005004A0" w:rsidRPr="005206CA">
        <w:t>nit</w:t>
      </w:r>
      <w:r w:rsidR="00EA66A4" w:rsidRPr="005206CA">
        <w:t>s on the secondary market</w:t>
      </w:r>
      <w:bookmarkEnd w:id="1462"/>
      <w:bookmarkEnd w:id="1463"/>
      <w:bookmarkEnd w:id="1464"/>
      <w:bookmarkEnd w:id="1465"/>
      <w:bookmarkEnd w:id="1466"/>
      <w:bookmarkEnd w:id="1467"/>
      <w:bookmarkEnd w:id="1468"/>
      <w:bookmarkEnd w:id="1469"/>
      <w:bookmarkEnd w:id="1470"/>
      <w:bookmarkEnd w:id="1471"/>
      <w:bookmarkEnd w:id="1472"/>
      <w:bookmarkEnd w:id="1473"/>
    </w:p>
    <w:p w14:paraId="2AE2E4A8" w14:textId="7ABA45D0" w:rsidR="006D0CD4" w:rsidRPr="005206CA" w:rsidRDefault="006D0CD4" w:rsidP="006D0CD4">
      <w:r w:rsidRPr="005206CA">
        <w:t xml:space="preserve">The secondary market is the sale and purchase of </w:t>
      </w:r>
      <w:r w:rsidR="005004A0" w:rsidRPr="005206CA">
        <w:t>Australian Carbon Credit Units (</w:t>
      </w:r>
      <w:r w:rsidRPr="005206CA">
        <w:t>ACCUs</w:t>
      </w:r>
      <w:r w:rsidR="005004A0" w:rsidRPr="005206CA">
        <w:t>)</w:t>
      </w:r>
      <w:r w:rsidRPr="005206CA">
        <w:t xml:space="preserve"> outside of a contract with the Government. There are several possible sources of demand for ACCUs on the secondary market</w:t>
      </w:r>
      <w:r w:rsidR="00D86C26">
        <w:t>:</w:t>
      </w:r>
      <w:r w:rsidRPr="005206CA">
        <w:t xml:space="preserve"> make-good provisions in E</w:t>
      </w:r>
      <w:r w:rsidR="005004A0" w:rsidRPr="005206CA">
        <w:t xml:space="preserve">missions </w:t>
      </w:r>
      <w:r w:rsidRPr="005206CA">
        <w:t>R</w:t>
      </w:r>
      <w:r w:rsidR="005004A0" w:rsidRPr="005206CA">
        <w:t xml:space="preserve">eduction </w:t>
      </w:r>
      <w:r w:rsidRPr="005206CA">
        <w:t>F</w:t>
      </w:r>
      <w:r w:rsidR="005004A0" w:rsidRPr="005206CA">
        <w:t>und (ERF)</w:t>
      </w:r>
      <w:r w:rsidRPr="005206CA">
        <w:t xml:space="preserve"> contracts</w:t>
      </w:r>
      <w:r w:rsidR="00890535" w:rsidRPr="005206CA">
        <w:t xml:space="preserve"> </w:t>
      </w:r>
      <w:r w:rsidR="00D521A6" w:rsidRPr="005206CA">
        <w:t>(</w:t>
      </w:r>
      <w:r w:rsidR="00890535" w:rsidRPr="005206CA">
        <w:t>which allow</w:t>
      </w:r>
      <w:r w:rsidR="00D521A6" w:rsidRPr="005206CA">
        <w:t>s</w:t>
      </w:r>
      <w:r w:rsidR="00890535" w:rsidRPr="005206CA">
        <w:t xml:space="preserve"> scheme participants to meet their </w:t>
      </w:r>
      <w:r w:rsidR="00D521A6" w:rsidRPr="005206CA">
        <w:t xml:space="preserve">obligation to provide ACCUs from projects other than the project they </w:t>
      </w:r>
      <w:r w:rsidR="00BD11BE">
        <w:t>registered</w:t>
      </w:r>
      <w:r w:rsidR="00D521A6" w:rsidRPr="005206CA">
        <w:t xml:space="preserve"> at auction)</w:t>
      </w:r>
      <w:r w:rsidRPr="005206CA">
        <w:t>, safeguard mechanism facilities that exceed baselines, potentially the National Energy Guarantee</w:t>
      </w:r>
      <w:r w:rsidR="00BD32EF" w:rsidRPr="005206CA">
        <w:t xml:space="preserve"> </w:t>
      </w:r>
      <w:r w:rsidRPr="005206CA">
        <w:t xml:space="preserve">(depending on the outcome of </w:t>
      </w:r>
      <w:r w:rsidR="00BD11BE">
        <w:t xml:space="preserve">future design and </w:t>
      </w:r>
      <w:r w:rsidRPr="005206CA">
        <w:t>consultations)</w:t>
      </w:r>
      <w:r w:rsidR="001744BB" w:rsidRPr="005206CA">
        <w:t xml:space="preserve"> and</w:t>
      </w:r>
      <w:r w:rsidRPr="005206CA">
        <w:t xml:space="preserve"> the voluntary market. Future demand is uncertain and driven by a range of factors outlined below. </w:t>
      </w:r>
    </w:p>
    <w:p w14:paraId="5D6ABAE0" w14:textId="33C68BD2" w:rsidR="006D0CD4" w:rsidRPr="005206CA" w:rsidRDefault="00EA66A4">
      <w:pPr>
        <w:pStyle w:val="Heading3"/>
      </w:pPr>
      <w:r w:rsidRPr="005206CA">
        <w:t>Make</w:t>
      </w:r>
      <w:r w:rsidR="00FD10B2" w:rsidRPr="005206CA">
        <w:t>-</w:t>
      </w:r>
      <w:r w:rsidRPr="005206CA">
        <w:t>good provisions</w:t>
      </w:r>
    </w:p>
    <w:p w14:paraId="629005E7" w14:textId="523A59EE" w:rsidR="006D0CD4" w:rsidRPr="005206CA" w:rsidRDefault="006D0CD4" w:rsidP="006D0CD4">
      <w:r w:rsidRPr="005206CA">
        <w:t>The size of the ‘make</w:t>
      </w:r>
      <w:r w:rsidR="00FD10B2" w:rsidRPr="005206CA">
        <w:t>-</w:t>
      </w:r>
      <w:r w:rsidRPr="005206CA">
        <w:t xml:space="preserve">good’ market will be determined by the difference between the </w:t>
      </w:r>
      <w:r w:rsidR="00E7729F" w:rsidRPr="005206CA">
        <w:t>volume</w:t>
      </w:r>
      <w:r w:rsidRPr="005206CA">
        <w:t xml:space="preserve"> of ACCUs under contract and actual ACCUs delivered from those projects. Any difference will depend on a range of factors including the extent to which carbon service providers (CSP</w:t>
      </w:r>
      <w:r w:rsidR="00BC2322" w:rsidRPr="005206CA">
        <w:t>s</w:t>
      </w:r>
      <w:r w:rsidRPr="005206CA">
        <w:t xml:space="preserve">) are able to manage any </w:t>
      </w:r>
      <w:r w:rsidR="005D4D16" w:rsidRPr="005206CA">
        <w:t>‘</w:t>
      </w:r>
      <w:r w:rsidRPr="005206CA">
        <w:t>unders</w:t>
      </w:r>
      <w:r w:rsidR="005D4D16" w:rsidRPr="005206CA">
        <w:t>’</w:t>
      </w:r>
      <w:r w:rsidRPr="005206CA">
        <w:t xml:space="preserve"> or </w:t>
      </w:r>
      <w:r w:rsidR="005D4D16" w:rsidRPr="005206CA">
        <w:t>‘</w:t>
      </w:r>
      <w:r w:rsidRPr="005206CA">
        <w:t>overs</w:t>
      </w:r>
      <w:r w:rsidR="005D4D16" w:rsidRPr="005206CA">
        <w:t>’</w:t>
      </w:r>
      <w:r w:rsidRPr="005206CA">
        <w:t xml:space="preserve"> across their portfolio. This in turn will be influenced by the risk appetite of CSPs in terms of their contracted and expected abatement. Expected abatement may also differ from actual abatement depending on a range of project specific variables such as rainfall for sequestration projects. </w:t>
      </w:r>
      <w:r w:rsidR="00176891" w:rsidRPr="00AC7279">
        <w:rPr>
          <w:rStyle w:val="SectionChapterChar"/>
        </w:rPr>
        <w:fldChar w:fldCharType="begin"/>
      </w:r>
      <w:r w:rsidR="00176891" w:rsidRPr="00AC7279">
        <w:rPr>
          <w:rStyle w:val="SectionChapterChar"/>
        </w:rPr>
        <w:instrText xml:space="preserve"> REF _Ref497378764 \n \h </w:instrText>
      </w:r>
      <w:r w:rsidR="0002132E" w:rsidRPr="00AC7279">
        <w:rPr>
          <w:rStyle w:val="SectionChapterChar"/>
        </w:rPr>
        <w:instrText xml:space="preserve"> \* MERGEFORMAT </w:instrText>
      </w:r>
      <w:r w:rsidR="00176891" w:rsidRPr="00AC7279">
        <w:rPr>
          <w:rStyle w:val="SectionChapterChar"/>
        </w:rPr>
      </w:r>
      <w:r w:rsidR="00176891" w:rsidRPr="00AC7279">
        <w:rPr>
          <w:rStyle w:val="SectionChapterChar"/>
        </w:rPr>
        <w:fldChar w:fldCharType="separate"/>
      </w:r>
      <w:r w:rsidR="00FA2002">
        <w:rPr>
          <w:rStyle w:val="SectionChapterChar"/>
        </w:rPr>
        <w:t>Chapter 10</w:t>
      </w:r>
      <w:r w:rsidR="00176891" w:rsidRPr="00AC7279">
        <w:rPr>
          <w:rStyle w:val="SectionChapterChar"/>
        </w:rPr>
        <w:fldChar w:fldCharType="end"/>
      </w:r>
      <w:r w:rsidR="00176891" w:rsidRPr="005206CA">
        <w:t xml:space="preserve"> </w:t>
      </w:r>
      <w:r w:rsidRPr="005206CA">
        <w:t>discusses the risk of non-delivery of contracted abatement.</w:t>
      </w:r>
    </w:p>
    <w:p w14:paraId="4A3F69A6" w14:textId="77777777" w:rsidR="006D0CD4" w:rsidRPr="005206CA" w:rsidRDefault="00EA66A4" w:rsidP="0038754B">
      <w:pPr>
        <w:pStyle w:val="Heading3"/>
      </w:pPr>
      <w:r w:rsidRPr="005206CA">
        <w:t>Safeguard mechanism and the national energy guarantee</w:t>
      </w:r>
    </w:p>
    <w:p w14:paraId="7DC4F35F" w14:textId="5715260F" w:rsidR="006D0CD4" w:rsidRPr="005206CA" w:rsidRDefault="006D0CD4" w:rsidP="006D0CD4">
      <w:r w:rsidRPr="005206CA">
        <w:t>Facilities covered by the safeguard mechanism that exceed their prescribed emissions baselines may decide to purchase ACCUs on the secondary market to meet their obligations under the scheme (</w:t>
      </w:r>
      <w:r w:rsidRPr="00AC7279">
        <w:rPr>
          <w:rStyle w:val="SectionChapterChar"/>
        </w:rPr>
        <w:t xml:space="preserve">Section </w:t>
      </w:r>
      <w:r w:rsidR="0001584E" w:rsidRPr="005206CA">
        <w:rPr>
          <w:rStyle w:val="SectionChapterChar"/>
        </w:rPr>
        <w:fldChar w:fldCharType="begin"/>
      </w:r>
      <w:r w:rsidR="0001584E" w:rsidRPr="005206CA">
        <w:rPr>
          <w:rStyle w:val="SectionChapterChar"/>
        </w:rPr>
        <w:instrText xml:space="preserve"> REF _Ref500248046 \w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2.1.3</w:t>
      </w:r>
      <w:r w:rsidR="0001584E" w:rsidRPr="005206CA">
        <w:rPr>
          <w:rStyle w:val="SectionChapterChar"/>
        </w:rPr>
        <w:fldChar w:fldCharType="end"/>
      </w:r>
      <w:r w:rsidRPr="005206CA">
        <w:t>). It is unclear what level of demand this will create as it is uncertain to what extent safeguard facilities will exceed their baselines and whether they will use ACCUs or other options (like multiyear compliance plans) to meet their safeguard obligations. This issue will be examined by the Authority in its 2018 review of the N</w:t>
      </w:r>
      <w:r w:rsidR="005004A0" w:rsidRPr="005206CA">
        <w:t xml:space="preserve">ational </w:t>
      </w:r>
      <w:r w:rsidRPr="005206CA">
        <w:t>G</w:t>
      </w:r>
      <w:r w:rsidR="005004A0" w:rsidRPr="005206CA">
        <w:t xml:space="preserve">reenhouse and </w:t>
      </w:r>
      <w:r w:rsidRPr="005206CA">
        <w:t>E</w:t>
      </w:r>
      <w:r w:rsidR="005004A0" w:rsidRPr="005206CA">
        <w:t xml:space="preserve">nergy </w:t>
      </w:r>
      <w:r w:rsidRPr="005206CA">
        <w:t>R</w:t>
      </w:r>
      <w:r w:rsidR="005004A0" w:rsidRPr="005206CA">
        <w:t>eporting</w:t>
      </w:r>
      <w:r w:rsidRPr="005206CA">
        <w:t xml:space="preserve"> legislation. </w:t>
      </w:r>
    </w:p>
    <w:p w14:paraId="07B97D33" w14:textId="1BE91D2C" w:rsidR="006D0CD4" w:rsidRPr="005206CA" w:rsidRDefault="006D0CD4" w:rsidP="006D0CD4">
      <w:r w:rsidRPr="005206CA">
        <w:t xml:space="preserve">The option for retailers to use ACCUs or international units to meet the </w:t>
      </w:r>
      <w:r w:rsidR="007825DD" w:rsidRPr="005206CA">
        <w:t>G</w:t>
      </w:r>
      <w:r w:rsidRPr="005206CA">
        <w:t>uarantee (after it</w:t>
      </w:r>
      <w:r w:rsidR="007825DD" w:rsidRPr="005206CA">
        <w:t>s planned implementation</w:t>
      </w:r>
      <w:r w:rsidR="008F1ABB" w:rsidRPr="005206CA">
        <w:t xml:space="preserve"> </w:t>
      </w:r>
      <w:r w:rsidRPr="005206CA">
        <w:t xml:space="preserve">in 2020) is one of the </w:t>
      </w:r>
      <w:r w:rsidR="007825DD" w:rsidRPr="005206CA">
        <w:t xml:space="preserve">Guarantee </w:t>
      </w:r>
      <w:r w:rsidRPr="005206CA">
        <w:t xml:space="preserve">design features that is still to be settled. At this stage, it is difficult to tell whether the </w:t>
      </w:r>
      <w:r w:rsidR="007825DD" w:rsidRPr="005206CA">
        <w:t xml:space="preserve">Guarantee </w:t>
      </w:r>
      <w:r w:rsidRPr="005206CA">
        <w:t xml:space="preserve">will deliver new demand for ACCUs. </w:t>
      </w:r>
    </w:p>
    <w:p w14:paraId="7204C067" w14:textId="77777777" w:rsidR="006D0CD4" w:rsidRPr="005206CA" w:rsidRDefault="00EA66A4" w:rsidP="003221E8">
      <w:pPr>
        <w:pStyle w:val="Heading2"/>
      </w:pPr>
      <w:bookmarkStart w:id="1474" w:name="_Toc499043762"/>
      <w:bookmarkStart w:id="1475" w:name="_Toc499051787"/>
      <w:bookmarkStart w:id="1476" w:name="_Toc500251140"/>
      <w:bookmarkStart w:id="1477" w:name="_Toc500251415"/>
      <w:bookmarkStart w:id="1478" w:name="_Toc500254012"/>
      <w:bookmarkStart w:id="1479" w:name="_Toc500401519"/>
      <w:bookmarkStart w:id="1480" w:name="_Toc500491008"/>
      <w:bookmarkStart w:id="1481" w:name="_Toc500512945"/>
      <w:bookmarkStart w:id="1482" w:name="_Toc500514205"/>
      <w:bookmarkStart w:id="1483" w:name="_Toc500516257"/>
      <w:r w:rsidRPr="005206CA">
        <w:t>Voluntary market</w:t>
      </w:r>
      <w:bookmarkEnd w:id="1474"/>
      <w:bookmarkEnd w:id="1475"/>
      <w:bookmarkEnd w:id="1476"/>
      <w:bookmarkEnd w:id="1477"/>
      <w:bookmarkEnd w:id="1478"/>
      <w:bookmarkEnd w:id="1479"/>
      <w:bookmarkEnd w:id="1480"/>
      <w:bookmarkEnd w:id="1481"/>
      <w:bookmarkEnd w:id="1482"/>
      <w:bookmarkEnd w:id="1483"/>
    </w:p>
    <w:p w14:paraId="40340FF7" w14:textId="0842A1E6" w:rsidR="001744BB" w:rsidRPr="005206CA" w:rsidRDefault="006D0CD4" w:rsidP="006D0CD4">
      <w:r w:rsidRPr="005206CA">
        <w:t>There is also a voluntary market for ACCUs with demand from firms seeking to offset their emissions. For example, between 2010-11 and 2015-16, Carbon Neutral Program participants in Australia offset around nine Mt of CO</w:t>
      </w:r>
      <w:r w:rsidRPr="005206CA">
        <w:rPr>
          <w:rFonts w:ascii="Cambria Math" w:hAnsi="Cambria Math" w:cs="Cambria Math"/>
        </w:rPr>
        <w:t>₂</w:t>
      </w:r>
      <w:r w:rsidRPr="005206CA">
        <w:t>-e, although only about two per cent of the credits used for this purpose in 2015-16 were ACCUs (</w:t>
      </w:r>
      <w:r w:rsidRPr="005206CA">
        <w:rPr>
          <w:rStyle w:val="In-textChar"/>
        </w:rPr>
        <w:t xml:space="preserve">DoEE </w:t>
      </w:r>
      <w:r w:rsidR="00B97891" w:rsidRPr="005206CA">
        <w:rPr>
          <w:rStyle w:val="In-textChar"/>
        </w:rPr>
        <w:t>2017</w:t>
      </w:r>
      <w:r w:rsidR="00582117" w:rsidRPr="005206CA">
        <w:rPr>
          <w:rStyle w:val="In-textChar"/>
        </w:rPr>
        <w:t>e</w:t>
      </w:r>
      <w:r w:rsidRPr="005206CA">
        <w:t xml:space="preserve">). The demand from the voluntary market could increase over time if companies increasingly invest in corporate social responsibility initiatives. In October 2017, the </w:t>
      </w:r>
      <w:r w:rsidR="00036DC9" w:rsidRPr="005206CA">
        <w:t>Department</w:t>
      </w:r>
      <w:r w:rsidRPr="005206CA">
        <w:t xml:space="preserve"> launched National Carbon Offset Standard</w:t>
      </w:r>
      <w:r w:rsidR="001744BB" w:rsidRPr="005206CA">
        <w:t>s</w:t>
      </w:r>
      <w:r w:rsidRPr="005206CA">
        <w:t xml:space="preserve"> for buildings and precincts</w:t>
      </w:r>
      <w:r w:rsidR="001744BB" w:rsidRPr="005206CA">
        <w:t xml:space="preserve"> (</w:t>
      </w:r>
      <w:r w:rsidR="001744BB" w:rsidRPr="005206CA">
        <w:rPr>
          <w:rStyle w:val="In-textChar"/>
        </w:rPr>
        <w:t xml:space="preserve">DoEE </w:t>
      </w:r>
      <w:r w:rsidR="00B97891" w:rsidRPr="005206CA">
        <w:rPr>
          <w:rStyle w:val="In-textChar"/>
        </w:rPr>
        <w:t>2017</w:t>
      </w:r>
      <w:r w:rsidR="00E24A89" w:rsidRPr="005206CA">
        <w:rPr>
          <w:rStyle w:val="In-textChar"/>
        </w:rPr>
        <w:t>b</w:t>
      </w:r>
      <w:r w:rsidR="001744BB" w:rsidRPr="005206CA">
        <w:t>)</w:t>
      </w:r>
      <w:r w:rsidRPr="005206CA">
        <w:t>, which may lead to some additional demand for ACCUs. Further, in 2017 the International Carbon Reduction &amp; Offset Alliance endorsed the use of the ERF in its Code of Best Practice for Carbon Management</w:t>
      </w:r>
      <w:r w:rsidR="001744BB" w:rsidRPr="005206CA">
        <w:t xml:space="preserve"> Services</w:t>
      </w:r>
      <w:r w:rsidRPr="005206CA">
        <w:t>.</w:t>
      </w:r>
      <w:r w:rsidR="00BD32EF" w:rsidRPr="005206CA">
        <w:t xml:space="preserve"> This is discussed in </w:t>
      </w:r>
      <w:r w:rsidR="0001584E" w:rsidRPr="005206CA">
        <w:rPr>
          <w:rStyle w:val="SectionChapterChar"/>
        </w:rPr>
        <w:fldChar w:fldCharType="begin"/>
      </w:r>
      <w:r w:rsidR="0001584E" w:rsidRPr="0033387E">
        <w:rPr>
          <w:rStyle w:val="SectionChapterChar"/>
        </w:rPr>
        <w:instrText xml:space="preserve"> REF _Ref500248078 \w \h </w:instrText>
      </w:r>
      <w:r w:rsidR="0001584E" w:rsidRP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Chapter 13</w:t>
      </w:r>
      <w:r w:rsidR="0001584E" w:rsidRPr="005206CA">
        <w:rPr>
          <w:rStyle w:val="SectionChapterChar"/>
        </w:rPr>
        <w:fldChar w:fldCharType="end"/>
      </w:r>
      <w:r w:rsidRPr="005206CA">
        <w:t xml:space="preserve">. </w:t>
      </w:r>
    </w:p>
    <w:p w14:paraId="3B561612" w14:textId="2855597D" w:rsidR="006D0CD4" w:rsidRPr="005206CA" w:rsidRDefault="006D0CD4" w:rsidP="006D0CD4">
      <w:r w:rsidRPr="005206CA">
        <w:t>On balance, the Authority is of the view that demand for ACCUs on the secondary market will increase over time.</w:t>
      </w:r>
    </w:p>
    <w:p w14:paraId="709984AE" w14:textId="0338C67B" w:rsidR="006D0CD4" w:rsidRPr="005206CA" w:rsidRDefault="006F4344" w:rsidP="003221E8">
      <w:pPr>
        <w:pStyle w:val="Heading2"/>
      </w:pPr>
      <w:bookmarkStart w:id="1484" w:name="_Toc497819515"/>
      <w:bookmarkStart w:id="1485" w:name="_Toc498691584"/>
      <w:bookmarkStart w:id="1486" w:name="_Toc499043763"/>
      <w:bookmarkStart w:id="1487" w:name="_Toc499051788"/>
      <w:bookmarkStart w:id="1488" w:name="_Toc500251141"/>
      <w:bookmarkStart w:id="1489" w:name="_Toc500251416"/>
      <w:bookmarkStart w:id="1490" w:name="_Toc500254013"/>
      <w:bookmarkStart w:id="1491" w:name="_Toc500401520"/>
      <w:bookmarkStart w:id="1492" w:name="_Toc500491009"/>
      <w:bookmarkStart w:id="1493" w:name="_Toc500512946"/>
      <w:bookmarkStart w:id="1494" w:name="_Toc500514206"/>
      <w:bookmarkStart w:id="1495" w:name="_Toc500516258"/>
      <w:r w:rsidRPr="005206CA">
        <w:t>The supply of A</w:t>
      </w:r>
      <w:r w:rsidR="00A31027" w:rsidRPr="005206CA">
        <w:t xml:space="preserve">ustralian </w:t>
      </w:r>
      <w:r w:rsidRPr="005206CA">
        <w:t>C</w:t>
      </w:r>
      <w:r w:rsidR="00A31027" w:rsidRPr="005206CA">
        <w:t xml:space="preserve">arbon </w:t>
      </w:r>
      <w:r w:rsidRPr="005206CA">
        <w:t>C</w:t>
      </w:r>
      <w:r w:rsidR="00A31027" w:rsidRPr="005206CA">
        <w:t xml:space="preserve">redit </w:t>
      </w:r>
      <w:r w:rsidRPr="005206CA">
        <w:t>U</w:t>
      </w:r>
      <w:r w:rsidR="00A31027" w:rsidRPr="005206CA">
        <w:t>nit</w:t>
      </w:r>
      <w:r w:rsidR="00DE6313" w:rsidRPr="005206CA">
        <w:t>s on the secondary market</w:t>
      </w:r>
      <w:bookmarkEnd w:id="1484"/>
      <w:bookmarkEnd w:id="1485"/>
      <w:bookmarkEnd w:id="1486"/>
      <w:bookmarkEnd w:id="1487"/>
      <w:bookmarkEnd w:id="1488"/>
      <w:bookmarkEnd w:id="1489"/>
      <w:bookmarkEnd w:id="1490"/>
      <w:bookmarkEnd w:id="1491"/>
      <w:bookmarkEnd w:id="1492"/>
      <w:bookmarkEnd w:id="1493"/>
      <w:bookmarkEnd w:id="1494"/>
      <w:bookmarkEnd w:id="1495"/>
    </w:p>
    <w:p w14:paraId="4C8406BD" w14:textId="463EDDE8" w:rsidR="006D0CD4" w:rsidRPr="005206CA" w:rsidRDefault="006D0CD4" w:rsidP="006D0CD4">
      <w:r w:rsidRPr="005206CA">
        <w:t>ERF projects are the sole source of supply of ACCUs. Of the 4</w:t>
      </w:r>
      <w:r w:rsidR="00F52D23" w:rsidRPr="005206CA">
        <w:t>3</w:t>
      </w:r>
      <w:r w:rsidRPr="005206CA">
        <w:t xml:space="preserve"> million ACCUs credited as of </w:t>
      </w:r>
      <w:r w:rsidR="00F52D23" w:rsidRPr="005206CA">
        <w:t>November</w:t>
      </w:r>
      <w:r w:rsidRPr="005206CA">
        <w:t xml:space="preserve"> 2017, 2</w:t>
      </w:r>
      <w:r w:rsidR="00F52D23" w:rsidRPr="005206CA">
        <w:t>6</w:t>
      </w:r>
      <w:r w:rsidRPr="005206CA">
        <w:t xml:space="preserve"> million have been delivered to the </w:t>
      </w:r>
      <w:r w:rsidR="00BD32EF" w:rsidRPr="005206CA">
        <w:t>Government under contract, 14.5 </w:t>
      </w:r>
      <w:r w:rsidRPr="005206CA">
        <w:t xml:space="preserve">million were surrendered under the former carbon pricing mechanism and 0.3 million have been </w:t>
      </w:r>
      <w:r w:rsidR="004F6D0E" w:rsidRPr="005206CA">
        <w:t xml:space="preserve">voluntarily </w:t>
      </w:r>
      <w:r w:rsidRPr="005206CA">
        <w:t>cancelled or relinquished (</w:t>
      </w:r>
      <w:r w:rsidRPr="005206CA">
        <w:rPr>
          <w:rStyle w:val="In-textChar"/>
        </w:rPr>
        <w:t xml:space="preserve">CER </w:t>
      </w:r>
      <w:r w:rsidR="00B4754E" w:rsidRPr="005206CA">
        <w:rPr>
          <w:rStyle w:val="In-textChar"/>
        </w:rPr>
        <w:t>2017k</w:t>
      </w:r>
      <w:r w:rsidR="007F779C">
        <w:rPr>
          <w:rStyle w:val="In-textChar"/>
        </w:rPr>
        <w:t>; CER 2017</w:t>
      </w:r>
      <w:r w:rsidR="00414A7B" w:rsidRPr="005206CA">
        <w:rPr>
          <w:rStyle w:val="In-textChar"/>
        </w:rPr>
        <w:t>n</w:t>
      </w:r>
      <w:r w:rsidR="007F779C">
        <w:rPr>
          <w:rStyle w:val="In-textChar"/>
        </w:rPr>
        <w:t>; CER</w:t>
      </w:r>
      <w:r w:rsidR="00F4139A" w:rsidRPr="005206CA">
        <w:rPr>
          <w:rStyle w:val="In-textChar"/>
        </w:rPr>
        <w:t xml:space="preserve"> </w:t>
      </w:r>
      <w:r w:rsidR="00747391" w:rsidRPr="005206CA">
        <w:rPr>
          <w:rStyle w:val="In-textChar"/>
        </w:rPr>
        <w:t>2015e</w:t>
      </w:r>
      <w:r w:rsidRPr="005206CA">
        <w:t>). This mea</w:t>
      </w:r>
      <w:r w:rsidR="00BD32EF" w:rsidRPr="005206CA">
        <w:t xml:space="preserve">ns that there are currently </w:t>
      </w:r>
      <w:r w:rsidR="00636B79">
        <w:t xml:space="preserve">around </w:t>
      </w:r>
      <w:r w:rsidR="002D7994" w:rsidRPr="005206CA">
        <w:t>two</w:t>
      </w:r>
      <w:r w:rsidR="00BD32EF" w:rsidRPr="005206CA">
        <w:t> </w:t>
      </w:r>
      <w:r w:rsidRPr="005206CA">
        <w:t>million ACCUs, which may either be traded on the secondary market or held by companies for other purposes.</w:t>
      </w:r>
    </w:p>
    <w:p w14:paraId="7C0138FE" w14:textId="0D13A66D" w:rsidR="003221E8" w:rsidRPr="005206CA" w:rsidRDefault="006D0CD4" w:rsidP="00B56689">
      <w:r w:rsidRPr="005206CA">
        <w:t>The potential supply of ACCUs on the secondary market is determined by the number of projects registered under the ERF (which in turn reflects returns and demand), the volume of ACCUs they generate and the proportion of those ACCUs which are not contracted for delivery to the Government. The number of ACCUs issued has incr</w:t>
      </w:r>
      <w:r w:rsidR="00BD32EF" w:rsidRPr="005206CA">
        <w:t>eased over time (</w:t>
      </w:r>
      <w:r w:rsidR="00D86C05">
        <w:fldChar w:fldCharType="begin"/>
      </w:r>
      <w:r w:rsidR="00D86C05">
        <w:instrText xml:space="preserve"> REF _Ref500325874 \h </w:instrText>
      </w:r>
      <w:r w:rsidR="00D86C05">
        <w:fldChar w:fldCharType="separate"/>
      </w:r>
      <w:r w:rsidR="00FA2002">
        <w:t xml:space="preserve">Figure </w:t>
      </w:r>
      <w:r w:rsidR="00FA2002">
        <w:rPr>
          <w:noProof/>
        </w:rPr>
        <w:t>8</w:t>
      </w:r>
      <w:r w:rsidR="00D86C05">
        <w:fldChar w:fldCharType="end"/>
      </w:r>
      <w:r w:rsidRPr="005206CA">
        <w:t xml:space="preserve">). </w:t>
      </w:r>
    </w:p>
    <w:p w14:paraId="0003607F" w14:textId="45E46A41" w:rsidR="006D0CD4" w:rsidRPr="005206CA" w:rsidRDefault="006D0CD4" w:rsidP="006D0CD4">
      <w:r w:rsidRPr="005206CA">
        <w:t xml:space="preserve">Scheme participants also provide projections of their projects’ abatement volumes to the CER. This is discussed in </w:t>
      </w:r>
      <w:r w:rsidRPr="00AC7279">
        <w:rPr>
          <w:rStyle w:val="SectionChapterChar"/>
        </w:rPr>
        <w:t xml:space="preserve">Section </w:t>
      </w:r>
      <w:r w:rsidR="0001584E" w:rsidRPr="005206CA">
        <w:rPr>
          <w:rStyle w:val="SectionChapterChar"/>
        </w:rPr>
        <w:fldChar w:fldCharType="begin"/>
      </w:r>
      <w:r w:rsidR="0001584E" w:rsidRPr="005206CA">
        <w:rPr>
          <w:rStyle w:val="SectionChapterChar"/>
        </w:rPr>
        <w:instrText xml:space="preserve"> REF _Ref500248147 \w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10.6</w:t>
      </w:r>
      <w:r w:rsidR="0001584E" w:rsidRPr="005206CA">
        <w:rPr>
          <w:rStyle w:val="SectionChapterChar"/>
        </w:rPr>
        <w:fldChar w:fldCharType="end"/>
      </w:r>
      <w:r w:rsidRPr="00AC7279">
        <w:rPr>
          <w:rStyle w:val="SectionChapterCha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DE6313" w:rsidRPr="005206CA" w14:paraId="20D056E6" w14:textId="77777777" w:rsidTr="00DE6313">
        <w:trPr>
          <w:cnfStyle w:val="100000000000" w:firstRow="1" w:lastRow="0" w:firstColumn="0" w:lastColumn="0" w:oddVBand="0" w:evenVBand="0" w:oddHBand="0" w:evenHBand="0" w:firstRowFirstColumn="0" w:firstRowLastColumn="0" w:lastRowFirstColumn="0" w:lastRowLastColumn="0"/>
        </w:trPr>
        <w:tc>
          <w:tcPr>
            <w:tcW w:w="9202" w:type="dxa"/>
            <w:tcMar>
              <w:top w:w="0" w:type="dxa"/>
              <w:left w:w="0" w:type="dxa"/>
              <w:bottom w:w="0" w:type="dxa"/>
              <w:right w:w="0" w:type="dxa"/>
            </w:tcMar>
            <w:hideMark/>
          </w:tcPr>
          <w:p w14:paraId="0BE7DC31" w14:textId="7621841D" w:rsidR="00D86C05" w:rsidRDefault="00D86C05" w:rsidP="00D86C05">
            <w:pPr>
              <w:pStyle w:val="CCAFigure"/>
            </w:pPr>
            <w:bookmarkStart w:id="1496" w:name="_Ref500325874"/>
            <w:bookmarkStart w:id="1497" w:name="_Toc500490922"/>
            <w:bookmarkStart w:id="1498" w:name="_Toc500513617"/>
            <w:bookmarkStart w:id="1499" w:name="_Toc500516176"/>
            <w:r>
              <w:t xml:space="preserve">Figure </w:t>
            </w:r>
            <w:r w:rsidR="00FA2002">
              <w:fldChar w:fldCharType="begin"/>
            </w:r>
            <w:r w:rsidR="00FA2002">
              <w:instrText xml:space="preserve"> SEQ Figure \* ARABIC </w:instrText>
            </w:r>
            <w:r w:rsidR="00FA2002">
              <w:fldChar w:fldCharType="separate"/>
            </w:r>
            <w:r w:rsidR="00FA2002">
              <w:rPr>
                <w:noProof/>
              </w:rPr>
              <w:t>8</w:t>
            </w:r>
            <w:r w:rsidR="00FA2002">
              <w:rPr>
                <w:noProof/>
              </w:rPr>
              <w:fldChar w:fldCharType="end"/>
            </w:r>
            <w:bookmarkEnd w:id="1496"/>
            <w:r w:rsidR="00460154">
              <w:rPr>
                <w:noProof/>
              </w:rPr>
              <w:t>:</w:t>
            </w:r>
            <w:r>
              <w:t xml:space="preserve"> Cumulative ACCUs issued per quarter</w:t>
            </w:r>
            <w:bookmarkEnd w:id="1497"/>
            <w:bookmarkEnd w:id="1498"/>
            <w:bookmarkEnd w:id="1499"/>
          </w:p>
          <w:p w14:paraId="144B1E26" w14:textId="3DD15479" w:rsidR="00DE6313" w:rsidRPr="005206CA" w:rsidRDefault="00460154">
            <w:pPr>
              <w:rPr>
                <w:rFonts w:cs="Arial"/>
                <w:lang w:val="en-US"/>
              </w:rPr>
            </w:pPr>
            <w:r>
              <w:rPr>
                <w:rFonts w:cs="Arial"/>
                <w:noProof/>
                <w:lang w:eastAsia="en-AU"/>
              </w:rPr>
              <w:drawing>
                <wp:inline distT="0" distB="0" distL="0" distR="0" wp14:anchorId="0CAE49F7" wp14:editId="61C2A8FB">
                  <wp:extent cx="5829300" cy="3500814"/>
                  <wp:effectExtent l="0" t="0" r="0" b="4445"/>
                  <wp:docPr id="22" name="Picture 22" descr="Figure 9 is a bar chart that shows the change in the cumulative number of ACCUs issued between the second quarter of the 2013 financial year and 16 November 2017. The vertical axis is the number of ACCUs in millions and the horizontal axis is the quarter. In total, there were 42 million ACCUs credited. " title="Figure 9: Cumulative ACCUs issued pe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611" cy="3504604"/>
                          </a:xfrm>
                          <a:prstGeom prst="rect">
                            <a:avLst/>
                          </a:prstGeom>
                          <a:noFill/>
                        </pic:spPr>
                      </pic:pic>
                    </a:graphicData>
                  </a:graphic>
                </wp:inline>
              </w:drawing>
            </w:r>
          </w:p>
        </w:tc>
      </w:tr>
    </w:tbl>
    <w:p w14:paraId="0C1BE80B" w14:textId="543C94A8" w:rsidR="00BA24F9" w:rsidRDefault="00BA24F9" w:rsidP="00AC7279">
      <w:pPr>
        <w:pStyle w:val="Footnote"/>
        <w:spacing w:after="0"/>
        <w:rPr>
          <w:b/>
        </w:rPr>
      </w:pPr>
      <w:r>
        <w:rPr>
          <w:b/>
        </w:rPr>
        <w:t xml:space="preserve">Note: </w:t>
      </w:r>
      <w:r w:rsidRPr="00BA24F9">
        <w:t>T</w:t>
      </w:r>
      <w:r>
        <w:t>otal ACCUs credited is to 16 November 2017.</w:t>
      </w:r>
      <w:r w:rsidRPr="00BA24F9">
        <w:t xml:space="preserve"> </w:t>
      </w:r>
      <w:r w:rsidR="008E166E">
        <w:t>Data as at 16 November 2017.</w:t>
      </w:r>
    </w:p>
    <w:p w14:paraId="73A266C8" w14:textId="4B223BAE" w:rsidR="00DE6313" w:rsidRPr="005206CA" w:rsidRDefault="00DE6313" w:rsidP="00DE6313">
      <w:pPr>
        <w:pStyle w:val="Footnote"/>
        <w:rPr>
          <w:rFonts w:eastAsiaTheme="minorHAnsi"/>
          <w:color w:val="414141"/>
        </w:rPr>
      </w:pPr>
      <w:r w:rsidRPr="005206CA">
        <w:rPr>
          <w:b/>
        </w:rPr>
        <w:t>Source:</w:t>
      </w:r>
      <w:r w:rsidRPr="005206CA">
        <w:t xml:space="preserve"> </w:t>
      </w:r>
      <w:r w:rsidR="000E6CCB">
        <w:t xml:space="preserve">Climate Change Authority based on </w:t>
      </w:r>
      <w:r w:rsidRPr="005206CA">
        <w:t xml:space="preserve">CER </w:t>
      </w:r>
      <w:r w:rsidR="006B51F7" w:rsidRPr="005206CA">
        <w:t>2016c</w:t>
      </w:r>
      <w:r w:rsidR="00D86C26">
        <w:t>.</w:t>
      </w:r>
      <w:r w:rsidR="000E6CCB">
        <w:t xml:space="preserve"> </w:t>
      </w:r>
    </w:p>
    <w:p w14:paraId="384DED75" w14:textId="6601753C" w:rsidR="006D0CD4" w:rsidRPr="005206CA" w:rsidRDefault="006D0CD4" w:rsidP="006D0CD4">
      <w:r w:rsidRPr="005206CA">
        <w:t>As noted above, investment in ERF projects reflects expected returns, which are driven by a number of factors including anticipated demand for ACCUs and as</w:t>
      </w:r>
      <w:r w:rsidR="00BD32EF" w:rsidRPr="005206CA">
        <w:t xml:space="preserve">sumptions around price. </w:t>
      </w:r>
      <w:r w:rsidR="008033C5" w:rsidRPr="005206CA">
        <w:fldChar w:fldCharType="begin"/>
      </w:r>
      <w:r w:rsidR="008033C5" w:rsidRPr="005206CA">
        <w:instrText xml:space="preserve"> REF _Ref499042539 \h </w:instrText>
      </w:r>
      <w:r w:rsidR="0002132E" w:rsidRPr="005206CA">
        <w:instrText xml:space="preserve"> \* MERGEFORMAT </w:instrText>
      </w:r>
      <w:r w:rsidR="008033C5" w:rsidRPr="005206CA">
        <w:fldChar w:fldCharType="separate"/>
      </w:r>
      <w:r w:rsidR="00FA2002" w:rsidRPr="005206CA">
        <w:t xml:space="preserve">Figure </w:t>
      </w:r>
      <w:r w:rsidR="00FA2002">
        <w:rPr>
          <w:noProof/>
        </w:rPr>
        <w:t>9</w:t>
      </w:r>
      <w:r w:rsidR="008033C5" w:rsidRPr="005206CA">
        <w:fldChar w:fldCharType="end"/>
      </w:r>
      <w:r w:rsidR="008033C5" w:rsidRPr="005206CA">
        <w:t xml:space="preserve"> </w:t>
      </w:r>
      <w:r w:rsidRPr="005206CA">
        <w:t xml:space="preserve">shows that, in general, registrations of new ERF projects have been declining over time. Investment in ERF projects may be being affected by uncertainty around the future of the ERF and the demand from the secondary market. On the other hand, it may reflect the current auction prices and that </w:t>
      </w:r>
      <w:r w:rsidR="006517B3">
        <w:t>scheme</w:t>
      </w:r>
      <w:r w:rsidR="006517B3" w:rsidRPr="005206CA">
        <w:t xml:space="preserve"> </w:t>
      </w:r>
      <w:r w:rsidRPr="005206CA">
        <w:t>participants are focusing on implementing already contracted projects.</w:t>
      </w:r>
    </w:p>
    <w:p w14:paraId="209B8370" w14:textId="67EEBED0" w:rsidR="006D0CD4" w:rsidRPr="005206CA" w:rsidRDefault="006D0CD4" w:rsidP="006D0CD4">
      <w:r w:rsidRPr="005206CA">
        <w:t xml:space="preserve">Some carbon abatement projects may also choose certification outside of the ERF. In their </w:t>
      </w:r>
      <w:r w:rsidR="007E5547" w:rsidRPr="005206CA">
        <w:t>submission on</w:t>
      </w:r>
      <w:r w:rsidRPr="005206CA">
        <w:t xml:space="preserve"> the 2017 </w:t>
      </w:r>
      <w:r w:rsidR="002874CD" w:rsidRPr="005206CA">
        <w:t>r</w:t>
      </w:r>
      <w:r w:rsidRPr="005206CA">
        <w:t>eview, Carbon Neutral explained that they certified part of their revegetation project under the international Gold Standard as opposed to the ERF for a number of reasons, including that the Gold Standard recognises co-benefits and allows for some upfront crediting. Carbon Neutral also said that Gold Standard buyers are ‘paying a premium price of $12-$25 per t</w:t>
      </w:r>
      <w:r w:rsidR="00D86C26">
        <w:t xml:space="preserve"> </w:t>
      </w:r>
      <w:r w:rsidRPr="005206CA">
        <w:t>CO</w:t>
      </w:r>
      <w:r w:rsidRPr="005206CA">
        <w:rPr>
          <w:vertAlign w:val="subscript"/>
        </w:rPr>
        <w:t>2</w:t>
      </w:r>
      <w:r w:rsidRPr="005206CA">
        <w:t>-e’</w:t>
      </w:r>
      <w:r w:rsidR="008C0EDC" w:rsidRPr="005206CA">
        <w:t xml:space="preserve"> (p.</w:t>
      </w:r>
      <w:r w:rsidR="00E95A0B" w:rsidRPr="005206CA">
        <w:t xml:space="preserve"> </w:t>
      </w:r>
      <w:r w:rsidR="008C0EDC" w:rsidRPr="005206CA">
        <w:t>6)</w:t>
      </w:r>
      <w:r w:rsidRPr="005206CA">
        <w:t xml:space="preserve">. </w:t>
      </w:r>
    </w:p>
    <w:p w14:paraId="090E22AD" w14:textId="7179B48B" w:rsidR="006D0CD4" w:rsidRPr="005206CA" w:rsidRDefault="006D0CD4" w:rsidP="0038754B">
      <w:r w:rsidRPr="005206CA">
        <w:t xml:space="preserve">The volume of ACCUs available to be traded on the secondary market will therefore be influenced </w:t>
      </w:r>
      <w:r w:rsidR="00B82018">
        <w:t xml:space="preserve">to some extent </w:t>
      </w:r>
      <w:r w:rsidRPr="005206CA">
        <w:t xml:space="preserve">by the price of ACCUs relative to the price of certificates </w:t>
      </w:r>
      <w:r w:rsidR="00C92EA0" w:rsidRPr="005206CA">
        <w:t>generated</w:t>
      </w:r>
      <w:r w:rsidRPr="005206CA">
        <w:t xml:space="preserve"> under competing standards</w:t>
      </w:r>
      <w:r w:rsidR="008704B3" w:rsidRPr="005206CA">
        <w:t>.</w:t>
      </w:r>
    </w:p>
    <w:p w14:paraId="7E550928" w14:textId="3FF69F54" w:rsidR="00DE6313" w:rsidRPr="005206CA" w:rsidRDefault="00DE6313" w:rsidP="00DE6313">
      <w:pPr>
        <w:pStyle w:val="CCAFigure"/>
      </w:pPr>
      <w:bookmarkStart w:id="1500" w:name="_Ref499042539"/>
      <w:bookmarkStart w:id="1501" w:name="_Toc497377343"/>
      <w:bookmarkStart w:id="1502" w:name="_Toc497819429"/>
      <w:bookmarkStart w:id="1503" w:name="_Toc497827469"/>
      <w:bookmarkStart w:id="1504" w:name="_Toc497834105"/>
      <w:bookmarkStart w:id="1505" w:name="_Toc498691509"/>
      <w:bookmarkStart w:id="1506" w:name="_Toc499051711"/>
      <w:bookmarkStart w:id="1507" w:name="_Toc500251059"/>
      <w:bookmarkStart w:id="1508" w:name="_Toc500251334"/>
      <w:bookmarkStart w:id="1509" w:name="_Toc500253931"/>
      <w:bookmarkStart w:id="1510" w:name="_Toc500490923"/>
      <w:bookmarkStart w:id="1511" w:name="_Toc500513618"/>
      <w:bookmarkStart w:id="1512" w:name="_Toc500516177"/>
      <w:r w:rsidRPr="005206CA">
        <w:t xml:space="preserve">Figure </w:t>
      </w:r>
      <w:r w:rsidR="00FA2002">
        <w:fldChar w:fldCharType="begin"/>
      </w:r>
      <w:r w:rsidR="00FA2002">
        <w:instrText xml:space="preserve"> SEQ Figure \* ARABIC </w:instrText>
      </w:r>
      <w:r w:rsidR="00FA2002">
        <w:fldChar w:fldCharType="separate"/>
      </w:r>
      <w:r w:rsidR="00FA2002">
        <w:rPr>
          <w:noProof/>
        </w:rPr>
        <w:t>9</w:t>
      </w:r>
      <w:r w:rsidR="00FA2002">
        <w:rPr>
          <w:noProof/>
        </w:rPr>
        <w:fldChar w:fldCharType="end"/>
      </w:r>
      <w:bookmarkEnd w:id="1500"/>
      <w:r w:rsidR="006F4344" w:rsidRPr="005206CA">
        <w:rPr>
          <w:noProof/>
        </w:rPr>
        <w:t>:</w:t>
      </w:r>
      <w:r w:rsidRPr="005206CA">
        <w:t xml:space="preserve"> Number of projects registered under the ERF</w:t>
      </w:r>
      <w:bookmarkEnd w:id="1501"/>
      <w:bookmarkEnd w:id="1502"/>
      <w:bookmarkEnd w:id="1503"/>
      <w:bookmarkEnd w:id="1504"/>
      <w:bookmarkEnd w:id="1505"/>
      <w:bookmarkEnd w:id="1506"/>
      <w:bookmarkEnd w:id="1507"/>
      <w:bookmarkEnd w:id="1508"/>
      <w:bookmarkEnd w:id="1509"/>
      <w:bookmarkEnd w:id="1510"/>
      <w:bookmarkEnd w:id="1511"/>
      <w:bookmarkEnd w:id="1512"/>
    </w:p>
    <w:p w14:paraId="1F4D3A38" w14:textId="4EA32B91" w:rsidR="00DE6313" w:rsidRPr="005206CA" w:rsidRDefault="00460154" w:rsidP="006D0CD4">
      <w:r>
        <w:rPr>
          <w:noProof/>
          <w:lang w:eastAsia="en-AU"/>
        </w:rPr>
        <w:drawing>
          <wp:inline distT="0" distB="0" distL="0" distR="0" wp14:anchorId="3FF2183B" wp14:editId="3E107FFB">
            <wp:extent cx="6480810" cy="3279775"/>
            <wp:effectExtent l="0" t="0" r="0" b="0"/>
            <wp:docPr id="23" name="Picture 23" descr="Figure 10 is a bar chart that shows the number of projects registered between December 2014 and November 2017. The vertical axis is the number of projects and the horizontal axis is the month. In general, registrations of new ERF projects have been declining over time." title="Figure 10: Number of projects registered under the 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810" cy="3279775"/>
                    </a:xfrm>
                    <a:prstGeom prst="rect">
                      <a:avLst/>
                    </a:prstGeom>
                    <a:noFill/>
                  </pic:spPr>
                </pic:pic>
              </a:graphicData>
            </a:graphic>
          </wp:inline>
        </w:drawing>
      </w:r>
    </w:p>
    <w:p w14:paraId="3D69317A" w14:textId="2BD3BEE7" w:rsidR="00B8708F" w:rsidRPr="005206CA" w:rsidRDefault="00B8708F" w:rsidP="00AC7279">
      <w:pPr>
        <w:pStyle w:val="Footnote"/>
        <w:spacing w:after="60"/>
      </w:pPr>
      <w:r w:rsidRPr="005206CA">
        <w:rPr>
          <w:b/>
        </w:rPr>
        <w:t>Note</w:t>
      </w:r>
      <w:r w:rsidRPr="005206CA">
        <w:t>: The orange lines indicate the timing of the five auctions held to date.</w:t>
      </w:r>
      <w:r w:rsidR="008E166E" w:rsidRPr="008E166E">
        <w:t xml:space="preserve"> </w:t>
      </w:r>
      <w:r w:rsidR="008E166E" w:rsidRPr="005206CA">
        <w:t>Data as at 16 November 2017.</w:t>
      </w:r>
    </w:p>
    <w:p w14:paraId="70BF4564" w14:textId="0364E680" w:rsidR="00DE6313" w:rsidRPr="005206CA" w:rsidRDefault="00DE6313" w:rsidP="00AC7279">
      <w:pPr>
        <w:pStyle w:val="Footnote"/>
      </w:pPr>
      <w:r w:rsidRPr="005206CA">
        <w:rPr>
          <w:b/>
        </w:rPr>
        <w:t>Source:</w:t>
      </w:r>
      <w:r w:rsidRPr="005206CA">
        <w:t xml:space="preserve"> </w:t>
      </w:r>
      <w:r w:rsidR="00AD5389" w:rsidRPr="005206CA">
        <w:t xml:space="preserve">Climate Change Authority based on CER </w:t>
      </w:r>
      <w:r w:rsidR="00B4754E" w:rsidRPr="005206CA">
        <w:t>2017k</w:t>
      </w:r>
      <w:r w:rsidR="00AD5389" w:rsidRPr="005206CA">
        <w:t xml:space="preserve">. </w:t>
      </w:r>
    </w:p>
    <w:p w14:paraId="50B2A4AB" w14:textId="1B5929BC" w:rsidR="006D0CD4" w:rsidRPr="005206CA" w:rsidRDefault="006D0CD4" w:rsidP="006D0CD4">
      <w:r w:rsidRPr="005206CA">
        <w:t xml:space="preserve">On the other hand, if demand for ACCUs were to increase, as discussed above, with a resulting increase in price, then it is likely that new ERF projects would be registered in response. In their submission </w:t>
      </w:r>
      <w:r w:rsidR="008C0EDC" w:rsidRPr="005206CA">
        <w:t>on</w:t>
      </w:r>
      <w:r w:rsidRPr="005206CA">
        <w:t xml:space="preserve"> the 2017 </w:t>
      </w:r>
      <w:r w:rsidR="002874CD" w:rsidRPr="005206CA">
        <w:t>r</w:t>
      </w:r>
      <w:r w:rsidRPr="005206CA">
        <w:t>eview, GreenCollar estimated that, revegetation could achieve ‘somewhere in the realms of 100 million tonnes of abatement [beyond that of already registered projects]… with an increase in the price for carbon’</w:t>
      </w:r>
      <w:r w:rsidR="008C0EDC" w:rsidRPr="005206CA">
        <w:t xml:space="preserve"> (p.</w:t>
      </w:r>
      <w:r w:rsidR="00E95A0B" w:rsidRPr="005206CA">
        <w:t xml:space="preserve"> </w:t>
      </w:r>
      <w:r w:rsidR="008C0EDC" w:rsidRPr="005206CA">
        <w:t>8)</w:t>
      </w:r>
      <w:r w:rsidRPr="005206CA">
        <w:t xml:space="preserve">. </w:t>
      </w:r>
    </w:p>
    <w:p w14:paraId="70642722" w14:textId="77777777" w:rsidR="006D0CD4" w:rsidRPr="005206CA" w:rsidRDefault="00F1314C">
      <w:pPr>
        <w:pStyle w:val="Heading2"/>
      </w:pPr>
      <w:bookmarkStart w:id="1513" w:name="_Toc497819516"/>
      <w:bookmarkStart w:id="1514" w:name="_Toc498691585"/>
      <w:bookmarkStart w:id="1515" w:name="_Toc499043764"/>
      <w:bookmarkStart w:id="1516" w:name="_Toc499051789"/>
      <w:bookmarkStart w:id="1517" w:name="_Toc500251142"/>
      <w:bookmarkStart w:id="1518" w:name="_Toc500251417"/>
      <w:bookmarkStart w:id="1519" w:name="_Toc500254014"/>
      <w:bookmarkStart w:id="1520" w:name="_Toc500401521"/>
      <w:bookmarkStart w:id="1521" w:name="_Toc500491010"/>
      <w:bookmarkStart w:id="1522" w:name="_Toc500512947"/>
      <w:bookmarkStart w:id="1523" w:name="_Toc500514207"/>
      <w:bookmarkStart w:id="1524" w:name="_Toc500516259"/>
      <w:r w:rsidRPr="005206CA">
        <w:t>Transparency and liquidity</w:t>
      </w:r>
      <w:bookmarkEnd w:id="1513"/>
      <w:bookmarkEnd w:id="1514"/>
      <w:bookmarkEnd w:id="1515"/>
      <w:bookmarkEnd w:id="1516"/>
      <w:bookmarkEnd w:id="1517"/>
      <w:bookmarkEnd w:id="1518"/>
      <w:bookmarkEnd w:id="1519"/>
      <w:bookmarkEnd w:id="1520"/>
      <w:bookmarkEnd w:id="1521"/>
      <w:bookmarkEnd w:id="1522"/>
      <w:bookmarkEnd w:id="1523"/>
      <w:bookmarkEnd w:id="1524"/>
    </w:p>
    <w:p w14:paraId="4D3E3C96" w14:textId="3DE541EC" w:rsidR="00F41DA8" w:rsidRPr="005206CA" w:rsidRDefault="006D0CD4" w:rsidP="00F1314C">
      <w:r w:rsidRPr="005206CA">
        <w:t>The Authority investigated how the secondary market has been operating and what changes are needed to increase its effectiveness. The R</w:t>
      </w:r>
      <w:r w:rsidR="005004A0" w:rsidRPr="005206CA">
        <w:t xml:space="preserve">enewable </w:t>
      </w:r>
      <w:r w:rsidRPr="005206CA">
        <w:t>E</w:t>
      </w:r>
      <w:r w:rsidR="005004A0" w:rsidRPr="005206CA">
        <w:t xml:space="preserve">nergy </w:t>
      </w:r>
      <w:r w:rsidRPr="005206CA">
        <w:t>T</w:t>
      </w:r>
      <w:r w:rsidR="005004A0" w:rsidRPr="005206CA">
        <w:t>arget</w:t>
      </w:r>
      <w:r w:rsidRPr="005206CA">
        <w:t xml:space="preserve"> large-scale generation certificates (LGC) market provides a useful point of comparison w</w:t>
      </w:r>
      <w:r w:rsidR="00BC2322" w:rsidRPr="005206CA">
        <w:t>ith the ACCU secondary market (</w:t>
      </w:r>
      <w:r w:rsidR="008033C5" w:rsidRPr="005206CA">
        <w:fldChar w:fldCharType="begin"/>
      </w:r>
      <w:r w:rsidR="008033C5" w:rsidRPr="005206CA">
        <w:instrText xml:space="preserve"> REF _Ref499042572 \h </w:instrText>
      </w:r>
      <w:r w:rsidR="0002132E" w:rsidRPr="005206CA">
        <w:instrText xml:space="preserve"> \* MERGEFORMAT </w:instrText>
      </w:r>
      <w:r w:rsidR="008033C5" w:rsidRPr="005206CA">
        <w:fldChar w:fldCharType="separate"/>
      </w:r>
      <w:r w:rsidR="00FA2002" w:rsidRPr="005206CA">
        <w:rPr>
          <w:rFonts w:cs="Arial"/>
        </w:rPr>
        <w:t xml:space="preserve">Box </w:t>
      </w:r>
      <w:r w:rsidR="00FA2002">
        <w:rPr>
          <w:rFonts w:cs="Arial"/>
          <w:noProof/>
        </w:rPr>
        <w:t>5</w:t>
      </w:r>
      <w:r w:rsidR="008033C5" w:rsidRPr="005206CA">
        <w:fldChar w:fldCharType="end"/>
      </w:r>
      <w:r w:rsidRPr="005206CA">
        <w:t xml:space="preserve">). For a secondary market to function well, it should be transparent and liquid. </w:t>
      </w:r>
    </w:p>
    <w:p w14:paraId="67A71C6F" w14:textId="77777777" w:rsidR="00F41DA8" w:rsidRPr="005206CA" w:rsidRDefault="00F41DA8">
      <w:pPr>
        <w:spacing w:after="0" w:line="240" w:lineRule="auto"/>
      </w:pPr>
      <w:r w:rsidRPr="005206CA">
        <w:br w:type="page"/>
      </w:r>
    </w:p>
    <w:tbl>
      <w:tblPr>
        <w:tblStyle w:val="TableGrid"/>
        <w:tblW w:w="0" w:type="auto"/>
        <w:shd w:val="clear" w:color="auto" w:fill="E6ECF2"/>
        <w:tblLook w:val="04A0" w:firstRow="1" w:lastRow="0" w:firstColumn="1" w:lastColumn="0" w:noHBand="0" w:noVBand="1"/>
      </w:tblPr>
      <w:tblGrid>
        <w:gridCol w:w="9202"/>
      </w:tblGrid>
      <w:tr w:rsidR="00F1314C" w:rsidRPr="005206CA" w14:paraId="75F0EF60" w14:textId="77777777" w:rsidTr="00F1314C">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10FAB547" w14:textId="77777777" w:rsidR="00F1314C" w:rsidRPr="005206CA" w:rsidRDefault="00F1314C">
            <w:pPr>
              <w:pStyle w:val="CCAFigure"/>
              <w:rPr>
                <w:rFonts w:cs="Arial"/>
                <w:lang w:val="en-US"/>
              </w:rPr>
            </w:pPr>
            <w:bookmarkStart w:id="1525" w:name="_Ref499042572"/>
            <w:bookmarkStart w:id="1526" w:name="_Toc497316958"/>
            <w:bookmarkStart w:id="1527" w:name="_Toc497377350"/>
            <w:bookmarkStart w:id="1528" w:name="_Toc497819445"/>
            <w:bookmarkStart w:id="1529" w:name="_Toc498691491"/>
            <w:bookmarkStart w:id="1530" w:name="_Toc499051691"/>
            <w:bookmarkStart w:id="1531" w:name="_Toc500251039"/>
            <w:bookmarkStart w:id="1532" w:name="_Toc500251314"/>
            <w:bookmarkStart w:id="1533" w:name="_Toc500253911"/>
            <w:bookmarkStart w:id="1534" w:name="_Toc500490902"/>
            <w:bookmarkStart w:id="1535" w:name="_Toc500513635"/>
            <w:bookmarkStart w:id="1536" w:name="_Toc500516156"/>
            <w:r w:rsidRPr="005206CA">
              <w:rPr>
                <w:rFonts w:cs="Arial"/>
              </w:rPr>
              <w:t xml:space="preserve">Box </w:t>
            </w:r>
            <w:r w:rsidRPr="005206CA">
              <w:fldChar w:fldCharType="begin"/>
            </w:r>
            <w:r w:rsidRPr="005206CA">
              <w:rPr>
                <w:rFonts w:cs="Arial"/>
              </w:rPr>
              <w:instrText xml:space="preserve"> SEQ Box \* ARABIC </w:instrText>
            </w:r>
            <w:r w:rsidRPr="005206CA">
              <w:fldChar w:fldCharType="separate"/>
            </w:r>
            <w:r w:rsidR="00FA2002">
              <w:rPr>
                <w:rFonts w:cs="Arial"/>
                <w:noProof/>
              </w:rPr>
              <w:t>5</w:t>
            </w:r>
            <w:r w:rsidRPr="005206CA">
              <w:fldChar w:fldCharType="end"/>
            </w:r>
            <w:bookmarkEnd w:id="1525"/>
            <w:r w:rsidRPr="005206CA">
              <w:rPr>
                <w:rFonts w:cs="Arial"/>
              </w:rPr>
              <w:t>: Operation of the carbon market compared to LGC market</w:t>
            </w:r>
            <w:bookmarkEnd w:id="1526"/>
            <w:bookmarkEnd w:id="1527"/>
            <w:bookmarkEnd w:id="1528"/>
            <w:bookmarkEnd w:id="1529"/>
            <w:bookmarkEnd w:id="1530"/>
            <w:bookmarkEnd w:id="1531"/>
            <w:bookmarkEnd w:id="1532"/>
            <w:bookmarkEnd w:id="1533"/>
            <w:bookmarkEnd w:id="1534"/>
            <w:bookmarkEnd w:id="1535"/>
            <w:bookmarkEnd w:id="1536"/>
          </w:p>
          <w:p w14:paraId="7D092E4B" w14:textId="180EF667" w:rsidR="00F1314C" w:rsidRPr="005206CA" w:rsidRDefault="00F1314C">
            <w:pPr>
              <w:rPr>
                <w:rFonts w:cs="Arial"/>
              </w:rPr>
            </w:pPr>
            <w:r w:rsidRPr="005206CA">
              <w:rPr>
                <w:rFonts w:cs="Arial"/>
              </w:rPr>
              <w:t>Under the Renewable Energy Target, renewable energy generators create large</w:t>
            </w:r>
            <w:r w:rsidR="00D86C26">
              <w:rPr>
                <w:rFonts w:cs="Arial"/>
              </w:rPr>
              <w:noBreakHyphen/>
            </w:r>
            <w:r w:rsidRPr="005206CA">
              <w:rPr>
                <w:rFonts w:cs="Arial"/>
              </w:rPr>
              <w:t xml:space="preserve">scale generation certificates (LGCs). These certificates can then be sold to electricity retailers, who are required to surrender a set number of certificates to the </w:t>
            </w:r>
            <w:r w:rsidR="00635FF3" w:rsidRPr="005206CA">
              <w:rPr>
                <w:rFonts w:cs="Arial"/>
              </w:rPr>
              <w:t>Clean Energy Regulator (</w:t>
            </w:r>
            <w:r w:rsidRPr="005206CA">
              <w:rPr>
                <w:rFonts w:cs="Arial"/>
              </w:rPr>
              <w:t>CER</w:t>
            </w:r>
            <w:r w:rsidR="00635FF3" w:rsidRPr="005206CA">
              <w:rPr>
                <w:rFonts w:cs="Arial"/>
              </w:rPr>
              <w:t>)</w:t>
            </w:r>
            <w:r w:rsidRPr="005206CA">
              <w:rPr>
                <w:rFonts w:cs="Arial"/>
              </w:rPr>
              <w:t xml:space="preserve"> each year. The </w:t>
            </w:r>
            <w:r w:rsidR="00635FF3" w:rsidRPr="005206CA">
              <w:rPr>
                <w:rFonts w:cs="Arial"/>
              </w:rPr>
              <w:t>Renewable Energy Certificate (</w:t>
            </w:r>
            <w:r w:rsidRPr="005206CA">
              <w:rPr>
                <w:rFonts w:cs="Arial"/>
              </w:rPr>
              <w:t>REC</w:t>
            </w:r>
            <w:r w:rsidR="00635FF3" w:rsidRPr="005206CA">
              <w:rPr>
                <w:rFonts w:cs="Arial"/>
              </w:rPr>
              <w:t>)</w:t>
            </w:r>
            <w:r w:rsidRPr="005206CA">
              <w:rPr>
                <w:rFonts w:cs="Arial"/>
              </w:rPr>
              <w:t xml:space="preserve"> Registry facilitates the creation, transfer and surrender of LGCs. </w:t>
            </w:r>
          </w:p>
          <w:p w14:paraId="6441FAB7" w14:textId="2726DBC9" w:rsidR="00F1314C" w:rsidRPr="005206CA" w:rsidRDefault="00F1314C">
            <w:pPr>
              <w:rPr>
                <w:rFonts w:cs="Arial"/>
              </w:rPr>
            </w:pPr>
            <w:r w:rsidRPr="005206CA">
              <w:rPr>
                <w:rFonts w:cs="Arial"/>
              </w:rPr>
              <w:t xml:space="preserve">The LGC market is bigger and more </w:t>
            </w:r>
            <w:r w:rsidR="004F6D0E" w:rsidRPr="005206CA">
              <w:rPr>
                <w:rFonts w:cs="Arial"/>
              </w:rPr>
              <w:t xml:space="preserve">mature </w:t>
            </w:r>
            <w:r w:rsidRPr="005206CA">
              <w:rPr>
                <w:rFonts w:cs="Arial"/>
              </w:rPr>
              <w:t xml:space="preserve">than the current secondary market for ACCUs. </w:t>
            </w:r>
            <w:r w:rsidR="004F6D0E" w:rsidRPr="005206CA">
              <w:rPr>
                <w:rFonts w:cs="Arial"/>
              </w:rPr>
              <w:t>In the LGC market, spot and forward contract prices are traded and reported by established trading houses. The secondary market for ACCU</w:t>
            </w:r>
            <w:r w:rsidR="00283862" w:rsidRPr="005206CA">
              <w:rPr>
                <w:rFonts w:cs="Arial"/>
              </w:rPr>
              <w:t>s</w:t>
            </w:r>
            <w:r w:rsidR="004F6D0E" w:rsidRPr="005206CA">
              <w:rPr>
                <w:rFonts w:cs="Arial"/>
              </w:rPr>
              <w:t xml:space="preserve"> is far less developed and transactions tend not to be widely reported. </w:t>
            </w:r>
          </w:p>
          <w:p w14:paraId="523C27E7" w14:textId="2D7FCFC3" w:rsidR="00F1314C" w:rsidRPr="005206CA" w:rsidRDefault="00F1314C">
            <w:pPr>
              <w:rPr>
                <w:rFonts w:cs="Arial"/>
              </w:rPr>
            </w:pPr>
            <w:r w:rsidRPr="005206CA">
              <w:rPr>
                <w:rFonts w:cs="Arial"/>
              </w:rPr>
              <w:t>The LGC market is also more transparent and liquid than the current secondary market for ACCUs, partly because more market information is public</w:t>
            </w:r>
            <w:r w:rsidR="00D86C26">
              <w:rPr>
                <w:rFonts w:cs="Arial"/>
              </w:rPr>
              <w:t>ly</w:t>
            </w:r>
            <w:r w:rsidRPr="005206CA">
              <w:rPr>
                <w:rFonts w:cs="Arial"/>
              </w:rPr>
              <w:t xml:space="preserve"> available. For example, the </w:t>
            </w:r>
            <w:r w:rsidR="005004A0" w:rsidRPr="005206CA">
              <w:rPr>
                <w:rFonts w:cs="Arial"/>
              </w:rPr>
              <w:t>CER</w:t>
            </w:r>
            <w:r w:rsidRPr="005206CA">
              <w:rPr>
                <w:rFonts w:cs="Arial"/>
              </w:rPr>
              <w:t xml:space="preserve"> publishes LGC demand and supply data to signal to the market the amount of investment required in renewable energy. Supply data is based on the number of LGCs held in the registry as well as current and probable generation projects</w:t>
            </w:r>
            <w:r w:rsidR="008C0EDC" w:rsidRPr="005206CA">
              <w:rPr>
                <w:rFonts w:cs="Arial"/>
              </w:rPr>
              <w:t>,</w:t>
            </w:r>
            <w:r w:rsidRPr="005206CA">
              <w:rPr>
                <w:rFonts w:cs="Arial"/>
              </w:rPr>
              <w:t xml:space="preserve"> while the renewable energy target specifies the minimum demand for LGCs up to 2020. </w:t>
            </w:r>
          </w:p>
          <w:p w14:paraId="68D3B88F" w14:textId="6B7E9DD3" w:rsidR="00F1314C" w:rsidRPr="005206CA" w:rsidRDefault="00F1314C">
            <w:pPr>
              <w:rPr>
                <w:rFonts w:cs="Arial"/>
              </w:rPr>
            </w:pPr>
            <w:r w:rsidRPr="005206CA">
              <w:rPr>
                <w:rFonts w:cs="Arial"/>
              </w:rPr>
              <w:t>Although the REC Registry does not report the price of LGCs traded</w:t>
            </w:r>
            <w:r w:rsidR="00635FF3" w:rsidRPr="005206CA">
              <w:rPr>
                <w:rFonts w:cs="Arial"/>
              </w:rPr>
              <w:t>,</w:t>
            </w:r>
            <w:r w:rsidRPr="005206CA">
              <w:rPr>
                <w:rFonts w:cs="Arial"/>
              </w:rPr>
              <w:t xml:space="preserve"> it has, along with the availability of market data and demand, facilitated the development of private trading platforms for LGCs. Further, forward contracts for LGCs can be traded on the A</w:t>
            </w:r>
            <w:r w:rsidR="005004A0" w:rsidRPr="005206CA">
              <w:rPr>
                <w:rFonts w:cs="Arial"/>
              </w:rPr>
              <w:t xml:space="preserve">ustralian </w:t>
            </w:r>
            <w:r w:rsidRPr="005206CA">
              <w:rPr>
                <w:rFonts w:cs="Arial"/>
              </w:rPr>
              <w:t>S</w:t>
            </w:r>
            <w:r w:rsidR="005004A0" w:rsidRPr="005206CA">
              <w:rPr>
                <w:rFonts w:cs="Arial"/>
              </w:rPr>
              <w:t>ecurities Exchange</w:t>
            </w:r>
            <w:r w:rsidRPr="005206CA">
              <w:rPr>
                <w:rFonts w:cs="Arial"/>
              </w:rPr>
              <w:t>. Advisory businesses, such as Green Energy Markets, also report spot prices to inform investment and trading decisions.</w:t>
            </w:r>
          </w:p>
          <w:p w14:paraId="1D5C3884" w14:textId="14E1850A" w:rsidR="00F1314C" w:rsidRPr="005206CA" w:rsidRDefault="00F1314C">
            <w:pPr>
              <w:pStyle w:val="Footnote"/>
              <w:rPr>
                <w:rFonts w:asciiTheme="minorHAnsi" w:hAnsiTheme="minorHAnsi"/>
                <w:lang w:val="en-US"/>
              </w:rPr>
            </w:pPr>
            <w:r w:rsidRPr="005206CA">
              <w:rPr>
                <w:b/>
              </w:rPr>
              <w:t>Source</w:t>
            </w:r>
            <w:r w:rsidRPr="005206CA">
              <w:t>: CER 201</w:t>
            </w:r>
            <w:r w:rsidR="008C0EDC" w:rsidRPr="005206CA">
              <w:t>7</w:t>
            </w:r>
            <w:r w:rsidR="00591226" w:rsidRPr="005206CA">
              <w:t>a</w:t>
            </w:r>
            <w:r w:rsidR="000E6CCB">
              <w:t>.</w:t>
            </w:r>
          </w:p>
        </w:tc>
      </w:tr>
    </w:tbl>
    <w:p w14:paraId="24C021FA" w14:textId="77777777" w:rsidR="006C4615" w:rsidRDefault="006C4615" w:rsidP="00BF0516"/>
    <w:p w14:paraId="371C2465" w14:textId="77777777" w:rsidR="006D0CD4" w:rsidRPr="005206CA" w:rsidRDefault="00AB15FC">
      <w:pPr>
        <w:pStyle w:val="Heading3"/>
      </w:pPr>
      <w:r w:rsidRPr="005206CA">
        <w:t>Current operation of the secondary market</w:t>
      </w:r>
    </w:p>
    <w:p w14:paraId="4DAD0D88" w14:textId="4ADF0589" w:rsidR="006D0CD4" w:rsidRPr="005206CA" w:rsidRDefault="006D0CD4" w:rsidP="006D0CD4">
      <w:r w:rsidRPr="005206CA">
        <w:t>There is currently no mechanism or trading platform</w:t>
      </w:r>
      <w:r w:rsidR="00E662C0">
        <w:t xml:space="preserve"> that</w:t>
      </w:r>
      <w:r w:rsidRPr="005206CA">
        <w:t xml:space="preserve"> enables prospective buyers and sellers to easily and transparently identify the current price and quantity of ACCUs on the secondary market in order to execute trades. This presents a barrier to the liquidity and depth of the secondary market. </w:t>
      </w:r>
    </w:p>
    <w:p w14:paraId="02ED0841" w14:textId="3B77DD83" w:rsidR="006D0CD4" w:rsidRPr="005206CA" w:rsidRDefault="006D0CD4" w:rsidP="006D0CD4">
      <w:r w:rsidRPr="005206CA">
        <w:t xml:space="preserve">In their submission </w:t>
      </w:r>
      <w:r w:rsidR="008C0EDC" w:rsidRPr="005206CA">
        <w:t>on</w:t>
      </w:r>
      <w:r w:rsidRPr="005206CA">
        <w:t xml:space="preserve"> the 2017 review, the Victorian Government stated that there is an ‘absence of an effective secondary market’ </w:t>
      </w:r>
      <w:r w:rsidR="008C0EDC" w:rsidRPr="005206CA">
        <w:t>(p.</w:t>
      </w:r>
      <w:r w:rsidR="00E95A0B" w:rsidRPr="005206CA">
        <w:t xml:space="preserve"> </w:t>
      </w:r>
      <w:r w:rsidR="008C0EDC" w:rsidRPr="005206CA">
        <w:t>11).</w:t>
      </w:r>
      <w:r w:rsidRPr="005206CA">
        <w:t xml:space="preserve"> Similarly, AGL observed in their submission </w:t>
      </w:r>
      <w:r w:rsidR="008C0EDC" w:rsidRPr="005206CA">
        <w:t>on</w:t>
      </w:r>
      <w:r w:rsidRPr="005206CA">
        <w:t xml:space="preserve"> th</w:t>
      </w:r>
      <w:r w:rsidR="009E1BB5" w:rsidRPr="005206CA">
        <w:t>is</w:t>
      </w:r>
      <w:r w:rsidRPr="005206CA">
        <w:t xml:space="preserve"> review ‘that there is a lack of liquid supply of ACCUs, and transparency of supply, in the secondary market’</w:t>
      </w:r>
      <w:r w:rsidR="008C0EDC" w:rsidRPr="005206CA">
        <w:t xml:space="preserve"> (p.</w:t>
      </w:r>
      <w:r w:rsidR="00E95A0B" w:rsidRPr="005206CA">
        <w:t xml:space="preserve"> </w:t>
      </w:r>
      <w:r w:rsidR="008C0EDC" w:rsidRPr="005206CA">
        <w:t>3)</w:t>
      </w:r>
      <w:r w:rsidRPr="005206CA">
        <w:t xml:space="preserve">. </w:t>
      </w:r>
    </w:p>
    <w:p w14:paraId="178130E3" w14:textId="35285186" w:rsidR="00A16140" w:rsidRPr="005206CA" w:rsidRDefault="006D0CD4" w:rsidP="006D0CD4">
      <w:r w:rsidRPr="005206CA">
        <w:t xml:space="preserve">As discussed in </w:t>
      </w:r>
      <w:r w:rsidRPr="00AC7279">
        <w:rPr>
          <w:rStyle w:val="SectionChapterChar"/>
        </w:rPr>
        <w:t xml:space="preserve">Section </w:t>
      </w:r>
      <w:r w:rsidR="0001584E" w:rsidRPr="005206CA">
        <w:rPr>
          <w:rStyle w:val="SectionChapterChar"/>
        </w:rPr>
        <w:fldChar w:fldCharType="begin"/>
      </w:r>
      <w:r w:rsidR="0001584E" w:rsidRPr="005206CA">
        <w:rPr>
          <w:rStyle w:val="SectionChapterChar"/>
        </w:rPr>
        <w:instrText xml:space="preserve"> REF _Ref500248179 \w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6.2</w:t>
      </w:r>
      <w:r w:rsidR="0001584E" w:rsidRPr="005206CA">
        <w:rPr>
          <w:rStyle w:val="SectionChapterChar"/>
        </w:rPr>
        <w:fldChar w:fldCharType="end"/>
      </w:r>
      <w:r w:rsidRPr="005206CA">
        <w:t xml:space="preserve">, a few CSPs dominate the ERF in terms of the number of registered projects and share of contracted abatement. In their submission </w:t>
      </w:r>
      <w:r w:rsidR="008C0EDC" w:rsidRPr="005206CA">
        <w:t>on</w:t>
      </w:r>
      <w:r w:rsidRPr="005206CA">
        <w:t xml:space="preserve"> th</w:t>
      </w:r>
      <w:r w:rsidR="00E95A0B" w:rsidRPr="005206CA">
        <w:t xml:space="preserve">is </w:t>
      </w:r>
      <w:r w:rsidRPr="005206CA">
        <w:t>review,</w:t>
      </w:r>
      <w:r w:rsidR="00BD32EF" w:rsidRPr="005206CA">
        <w:t xml:space="preserve"> GreenCollar stated that</w:t>
      </w:r>
      <w:r w:rsidR="00A16140" w:rsidRPr="005206CA">
        <w:t>:</w:t>
      </w:r>
    </w:p>
    <w:p w14:paraId="0FD8D2BA" w14:textId="49B7654A" w:rsidR="00A16140" w:rsidRPr="005206CA" w:rsidRDefault="006D0CD4" w:rsidP="00AC7279">
      <w:pPr>
        <w:ind w:left="284"/>
      </w:pPr>
      <w:r w:rsidRPr="00AC7279">
        <w:rPr>
          <w:i/>
        </w:rPr>
        <w:t xml:space="preserve">Brokers do not currently show prices for ACCUs on any transparent platform (e.g. Reuters), as there are </w:t>
      </w:r>
      <w:r w:rsidR="008C0EDC" w:rsidRPr="00AC7279">
        <w:rPr>
          <w:i/>
        </w:rPr>
        <w:t xml:space="preserve">so </w:t>
      </w:r>
      <w:r w:rsidRPr="00AC7279">
        <w:rPr>
          <w:i/>
        </w:rPr>
        <w:t xml:space="preserve">few transactions and a large majority of those are bilateral </w:t>
      </w:r>
      <w:r w:rsidR="00BD32EF" w:rsidRPr="00AC7279">
        <w:rPr>
          <w:i/>
        </w:rPr>
        <w:t>(between two parties directly</w:t>
      </w:r>
      <w:r w:rsidR="008C0EDC" w:rsidRPr="005206CA">
        <w:t xml:space="preserve"> (p.</w:t>
      </w:r>
      <w:r w:rsidR="00E95A0B" w:rsidRPr="005206CA">
        <w:t xml:space="preserve"> </w:t>
      </w:r>
      <w:r w:rsidR="008C0EDC" w:rsidRPr="005206CA">
        <w:t>10)</w:t>
      </w:r>
      <w:r w:rsidR="00BD32EF" w:rsidRPr="005206CA">
        <w:t>.</w:t>
      </w:r>
    </w:p>
    <w:p w14:paraId="5A626407" w14:textId="1BB59F1A" w:rsidR="006D0CD4" w:rsidRPr="005206CA" w:rsidRDefault="006D0CD4" w:rsidP="006D0CD4">
      <w:r w:rsidRPr="005206CA">
        <w:t xml:space="preserve">These bilateral trades are likely to be done within and between CSPs as they manage their portfolio of projects and any differences between ACCUs </w:t>
      </w:r>
      <w:r w:rsidR="00C92EA0" w:rsidRPr="005206CA">
        <w:t>generated</w:t>
      </w:r>
      <w:r w:rsidRPr="005206CA">
        <w:t xml:space="preserve"> and contracted. Although these participants may have an indication of the availability and price of ACCUs on the secondary market, this information is unlikely to be readily accessible by other participants. For example, in their submission </w:t>
      </w:r>
      <w:r w:rsidR="008C0EDC" w:rsidRPr="005206CA">
        <w:t>on</w:t>
      </w:r>
      <w:r w:rsidRPr="005206CA">
        <w:t xml:space="preserve"> th</w:t>
      </w:r>
      <w:r w:rsidR="009E1BB5" w:rsidRPr="005206CA">
        <w:t>is</w:t>
      </w:r>
      <w:r w:rsidRPr="005206CA">
        <w:t xml:space="preserve"> review the Southern Atherton Tablelands Revegetation Alliance stated that ‘[f]or a very small player in a regional area it’s very hard to get an understanding of how the…market works, and how we might participate’</w:t>
      </w:r>
      <w:r w:rsidR="008C0EDC" w:rsidRPr="005206CA">
        <w:t xml:space="preserve"> (p.</w:t>
      </w:r>
      <w:r w:rsidR="00E95A0B" w:rsidRPr="005206CA">
        <w:t xml:space="preserve"> </w:t>
      </w:r>
      <w:r w:rsidR="008C0EDC" w:rsidRPr="005206CA">
        <w:t>6).</w:t>
      </w:r>
    </w:p>
    <w:p w14:paraId="3823F5F9" w14:textId="07CE454E" w:rsidR="006D0CD4" w:rsidRPr="005206CA" w:rsidRDefault="006D0CD4" w:rsidP="006D0CD4">
      <w:r w:rsidRPr="005206CA">
        <w:t>The CER maintains a public</w:t>
      </w:r>
      <w:r w:rsidR="00E662C0">
        <w:t>ly</w:t>
      </w:r>
      <w:r w:rsidRPr="005206CA">
        <w:t xml:space="preserve"> available project registry, which identifies the volume of ACCUs generated by each project and method used as well as the person</w:t>
      </w:r>
      <w:r w:rsidR="008C0EDC" w:rsidRPr="005206CA">
        <w:t>(s)</w:t>
      </w:r>
      <w:r w:rsidRPr="005206CA">
        <w:t xml:space="preserve"> to whom they are issued (</w:t>
      </w:r>
      <w:r w:rsidRPr="005206CA">
        <w:rPr>
          <w:rStyle w:val="In-textChar"/>
        </w:rPr>
        <w:t xml:space="preserve">CER </w:t>
      </w:r>
      <w:r w:rsidR="00486561" w:rsidRPr="005206CA">
        <w:rPr>
          <w:rStyle w:val="In-textChar"/>
        </w:rPr>
        <w:t>2017</w:t>
      </w:r>
      <w:r w:rsidR="0094547E" w:rsidRPr="005206CA">
        <w:rPr>
          <w:rStyle w:val="In-textChar"/>
        </w:rPr>
        <w:t>n</w:t>
      </w:r>
      <w:r w:rsidRPr="005206CA">
        <w:t>). Potential buyers could examine the project registry and contact scheme participants who they suspect may have ACCUs they could sell to them. However, it does not show up-to-date holdings to assist buyers to identify potential sellers. The Australian National Registry of Emissions Units is the platform for issuing, holding and transferring ACCUs</w:t>
      </w:r>
      <w:r w:rsidR="008C0EDC" w:rsidRPr="005206CA">
        <w:t xml:space="preserve"> (</w:t>
      </w:r>
      <w:r w:rsidR="008C0EDC" w:rsidRPr="00AC7279">
        <w:rPr>
          <w:rStyle w:val="In-textChar"/>
        </w:rPr>
        <w:t xml:space="preserve">CER </w:t>
      </w:r>
      <w:r w:rsidR="00137D02" w:rsidRPr="00AC7279">
        <w:rPr>
          <w:rStyle w:val="In-textChar"/>
        </w:rPr>
        <w:t>n.d.</w:t>
      </w:r>
      <w:r w:rsidR="008C0EDC" w:rsidRPr="005206CA">
        <w:t>)</w:t>
      </w:r>
      <w:r w:rsidRPr="005206CA">
        <w:t>. However, information on ACCU holdings is not included in the public</w:t>
      </w:r>
      <w:r w:rsidR="00E662C0">
        <w:t>ly</w:t>
      </w:r>
      <w:r w:rsidRPr="005206CA">
        <w:t xml:space="preserve"> available reports for the registry. </w:t>
      </w:r>
    </w:p>
    <w:p w14:paraId="56A026F3" w14:textId="663CEED5" w:rsidR="006D0CD4" w:rsidRPr="005206CA" w:rsidRDefault="006D0CD4" w:rsidP="006D0CD4">
      <w:r w:rsidRPr="005206CA">
        <w:t>The CER also maintains a contract registry, which is available on their website (</w:t>
      </w:r>
      <w:r w:rsidRPr="005206CA">
        <w:rPr>
          <w:rStyle w:val="In-textChar"/>
        </w:rPr>
        <w:t xml:space="preserve">CER </w:t>
      </w:r>
      <w:r w:rsidR="00B4754E" w:rsidRPr="005206CA">
        <w:rPr>
          <w:rStyle w:val="In-textChar"/>
        </w:rPr>
        <w:t>2017k</w:t>
      </w:r>
      <w:r w:rsidRPr="005206CA">
        <w:t xml:space="preserve">). The contract registry identifies the total volume of contracted abatement and the volume of abatement delivered to date for each contract. However, as it does not provide information on delivery schedules, the use of this information to inform demand or supply expectations is limited. </w:t>
      </w:r>
    </w:p>
    <w:p w14:paraId="59031BC8" w14:textId="76101D8D" w:rsidR="006D0CD4" w:rsidRPr="005206CA" w:rsidRDefault="006D0CD4" w:rsidP="006D0CD4">
      <w:r w:rsidRPr="005206CA">
        <w:t xml:space="preserve">To assist with transparency and with support from the </w:t>
      </w:r>
      <w:r w:rsidR="00036DC9" w:rsidRPr="005206CA">
        <w:t>Department</w:t>
      </w:r>
      <w:r w:rsidR="00E617EC" w:rsidRPr="005206CA">
        <w:t xml:space="preserve"> of the Environment and Energy</w:t>
      </w:r>
      <w:r w:rsidRPr="005206CA">
        <w:t>, the Carbon Market Institute developed an online market platform for Australian carbon credits including ACCUs, with a focus on the voluntary market. The Carbon Marketplace provides a description of the project used to generate the credits, including any co-benefits it generates, and contact details for the owner of the credits (</w:t>
      </w:r>
      <w:r w:rsidRPr="005206CA">
        <w:rPr>
          <w:rStyle w:val="In-textChar"/>
        </w:rPr>
        <w:t>CMI n.d.).</w:t>
      </w:r>
      <w:r w:rsidRPr="005206CA">
        <w:t xml:space="preserve"> In their submission </w:t>
      </w:r>
      <w:r w:rsidR="008C0EDC" w:rsidRPr="005206CA">
        <w:t>on</w:t>
      </w:r>
      <w:r w:rsidRPr="005206CA">
        <w:t xml:space="preserve"> th</w:t>
      </w:r>
      <w:r w:rsidR="009E1BB5" w:rsidRPr="005206CA">
        <w:t>is</w:t>
      </w:r>
      <w:r w:rsidRPr="005206CA">
        <w:t xml:space="preserve"> review, the National Waste and Recycling Industry Council </w:t>
      </w:r>
      <w:r w:rsidR="00635FF3" w:rsidRPr="005206CA">
        <w:t xml:space="preserve">said they </w:t>
      </w:r>
      <w:r w:rsidRPr="005206CA">
        <w:t xml:space="preserve">support this initiative. Although a useful tool, the Carbon Marketplace does not provide information about the volume of credits generated by the projects or the price at which projects owners are willing to sell them. The Authority is of the view that transparency of the availability and price of ACCUs on the secondary market is limited. </w:t>
      </w:r>
    </w:p>
    <w:p w14:paraId="674DA9E3" w14:textId="77777777" w:rsidR="006D0CD4" w:rsidRPr="005206CA" w:rsidRDefault="00433A23">
      <w:pPr>
        <w:pStyle w:val="Heading3"/>
      </w:pPr>
      <w:r w:rsidRPr="005206CA">
        <w:t>Opportunities to increase the secondary market’s effectiveness</w:t>
      </w:r>
    </w:p>
    <w:p w14:paraId="79927057" w14:textId="1F20CA49" w:rsidR="0086501D" w:rsidRPr="005206CA" w:rsidRDefault="006D0CD4" w:rsidP="006C4615">
      <w:r w:rsidRPr="005206CA">
        <w:t>As discussed above, it is likely that the size of the secondary market for ACCUs will grow over time due to increased demand. For trading to occur efficiently, a mechanism which reconciles offers to purchase ACCUs with offers to sell ACCUs will be requ</w:t>
      </w:r>
      <w:r w:rsidR="00BD32EF" w:rsidRPr="005206CA">
        <w:t xml:space="preserve">ired. In their submission </w:t>
      </w:r>
      <w:r w:rsidR="008C0EDC" w:rsidRPr="005206CA">
        <w:t>on</w:t>
      </w:r>
      <w:r w:rsidR="00BD32EF" w:rsidRPr="005206CA">
        <w:t xml:space="preserve"> this review, AGL stated that ‘</w:t>
      </w:r>
      <w:r w:rsidRPr="005206CA">
        <w:t>Given the potential demand for ACCUs on the secondary market…there is a need for policymakers to consider avenues through which to develop a functioning secondary market</w:t>
      </w:r>
      <w:r w:rsidR="00BD32EF" w:rsidRPr="005206CA">
        <w:t>’</w:t>
      </w:r>
      <w:r w:rsidRPr="005206CA">
        <w:t xml:space="preserve"> </w:t>
      </w:r>
      <w:r w:rsidR="008C0EDC" w:rsidRPr="005206CA">
        <w:t>(p.</w:t>
      </w:r>
      <w:r w:rsidR="00E95A0B" w:rsidRPr="005206CA">
        <w:t xml:space="preserve"> </w:t>
      </w:r>
      <w:r w:rsidR="008C0EDC" w:rsidRPr="005206CA">
        <w:t>3).</w:t>
      </w:r>
      <w:r w:rsidRPr="005206CA">
        <w:t xml:space="preserve"> It may become profitable for the private sector to respond to this requirement by developing a trading platform for ACCUs. Public information on ACCU holdings </w:t>
      </w:r>
      <w:r w:rsidR="00E827D8" w:rsidRPr="005206CA">
        <w:t xml:space="preserve">and contract delivery schedules </w:t>
      </w:r>
      <w:r w:rsidRPr="005206CA">
        <w:t>beyond that already available on the CER’s project and contract registry would support the development of such a platform and enable the seco</w:t>
      </w:r>
      <w:r w:rsidR="00433A23" w:rsidRPr="005206CA">
        <w:t>ndary market to develop further.</w:t>
      </w:r>
      <w:r w:rsidR="0086501D" w:rsidRPr="005206CA">
        <w:br w:type="page"/>
      </w:r>
    </w:p>
    <w:p w14:paraId="706D79B5" w14:textId="0F4565FB" w:rsidR="006D0CD4" w:rsidRPr="005206CA" w:rsidRDefault="006D0CD4" w:rsidP="00433A23">
      <w:pPr>
        <w:spacing w:before="120"/>
      </w:pPr>
      <w:r w:rsidRPr="005206CA">
        <w:t>For the supply of ACCUs to increase in response to an increase in demand, prospective investors in ERF projects need to have some visibility of the anticipated volume of ACCUs dem</w:t>
      </w:r>
      <w:r w:rsidR="00BD32EF" w:rsidRPr="005206CA">
        <w:t>anded on the secondary market.</w:t>
      </w:r>
      <w:r w:rsidRPr="005206CA">
        <w:t xml:space="preserve"> Without this visibility, there is likely to be a significant time lag before sufficient ACCUs are supplied to meet the demand for ACCUs on the secondary market. This could limit the availability of ACCUs and obstruct scheme participants from meeting their contractual delivery obligations through make</w:t>
      </w:r>
      <w:r w:rsidR="00FD10B2" w:rsidRPr="005206CA">
        <w:t>-</w:t>
      </w:r>
      <w:r w:rsidRPr="005206CA">
        <w:t xml:space="preserve">good provisions. It could also affect the ability of facilities covered by the safeguard mechanism or possibly </w:t>
      </w:r>
      <w:r w:rsidR="00250193" w:rsidRPr="005206CA">
        <w:t xml:space="preserve">entities covered by </w:t>
      </w:r>
      <w:r w:rsidRPr="005206CA">
        <w:t xml:space="preserve">the </w:t>
      </w:r>
      <w:r w:rsidR="003417AB" w:rsidRPr="005206CA">
        <w:t xml:space="preserve">Guarantee </w:t>
      </w:r>
      <w:r w:rsidR="008C0EDC" w:rsidRPr="005206CA">
        <w:t xml:space="preserve">to </w:t>
      </w:r>
      <w:r w:rsidRPr="005206CA">
        <w:t xml:space="preserve">comply with their obligations. </w:t>
      </w:r>
    </w:p>
    <w:p w14:paraId="32E3011B" w14:textId="06E2DD23" w:rsidR="00A235E3" w:rsidRPr="005206CA" w:rsidRDefault="006D0CD4" w:rsidP="00A235E3">
      <w:r w:rsidRPr="005206CA">
        <w:t>To reduce this risk, the Authority is of the view that the CER should provide information to inform the decision</w:t>
      </w:r>
      <w:r w:rsidR="003417AB" w:rsidRPr="005206CA">
        <w:t xml:space="preserve"> </w:t>
      </w:r>
      <w:r w:rsidRPr="005206CA">
        <w:t>making processes of market participant</w:t>
      </w:r>
      <w:r w:rsidR="00635FF3" w:rsidRPr="005206CA">
        <w:t>s</w:t>
      </w:r>
      <w:r w:rsidRPr="005206CA">
        <w:t xml:space="preserve"> and investors.</w:t>
      </w:r>
    </w:p>
    <w:tbl>
      <w:tblPr>
        <w:tblStyle w:val="TableGrid"/>
        <w:tblW w:w="0" w:type="auto"/>
        <w:shd w:val="clear" w:color="auto" w:fill="E6ECF2"/>
        <w:tblLook w:val="04A0" w:firstRow="1" w:lastRow="0" w:firstColumn="1" w:lastColumn="0" w:noHBand="0" w:noVBand="1"/>
      </w:tblPr>
      <w:tblGrid>
        <w:gridCol w:w="9202"/>
      </w:tblGrid>
      <w:tr w:rsidR="00A235E3" w:rsidRPr="005206CA" w14:paraId="41A36CFA" w14:textId="77777777" w:rsidTr="00A235E3">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49AE2606" w14:textId="77777777" w:rsidR="00A235E3" w:rsidRPr="005206CA" w:rsidRDefault="00A235E3">
            <w:pPr>
              <w:rPr>
                <w:rFonts w:cs="Arial"/>
                <w:b/>
                <w:color w:val="159DCE"/>
                <w:sz w:val="18"/>
                <w:szCs w:val="18"/>
              </w:rPr>
            </w:pPr>
            <w:r w:rsidRPr="005206CA">
              <w:rPr>
                <w:rFonts w:cs="Arial"/>
                <w:b/>
                <w:color w:val="159DCE"/>
                <w:sz w:val="18"/>
                <w:szCs w:val="18"/>
              </w:rPr>
              <w:t>RECOMMENDATION</w:t>
            </w:r>
          </w:p>
          <w:p w14:paraId="38F59D61" w14:textId="2F17BA5E" w:rsidR="00A235E3" w:rsidRPr="005206CA" w:rsidRDefault="00A235E3" w:rsidP="00234665">
            <w:pPr>
              <w:spacing w:after="140" w:line="320" w:lineRule="exact"/>
              <w:ind w:left="851" w:hanging="851"/>
              <w:rPr>
                <w:rFonts w:cs="Arial"/>
                <w:color w:val="414141"/>
                <w:sz w:val="18"/>
                <w:szCs w:val="18"/>
              </w:rPr>
            </w:pPr>
            <w:bookmarkStart w:id="1537" w:name="_Ref497828309"/>
            <w:bookmarkStart w:id="1538" w:name="_Toc497316913"/>
            <w:bookmarkStart w:id="1539" w:name="_Toc497827456"/>
            <w:bookmarkStart w:id="1540" w:name="_Toc497834092"/>
            <w:bookmarkStart w:id="1541" w:name="_Toc498534534"/>
            <w:bookmarkStart w:id="1542" w:name="_Toc498614729"/>
            <w:bookmarkStart w:id="1543" w:name="_Toc498691484"/>
            <w:bookmarkStart w:id="1544" w:name="_Toc499051683"/>
            <w:bookmarkStart w:id="1545" w:name="_Toc499202068"/>
            <w:bookmarkStart w:id="1546" w:name="_Toc499892352"/>
            <w:bookmarkStart w:id="1547" w:name="_Toc499898713"/>
            <w:bookmarkStart w:id="1548" w:name="_Toc499899353"/>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23</w:t>
            </w:r>
            <w:r w:rsidRPr="005206CA">
              <w:fldChar w:fldCharType="end"/>
            </w:r>
            <w:bookmarkEnd w:id="1537"/>
            <w:r w:rsidR="005D41E0">
              <w:t>.</w:t>
            </w:r>
            <w:r w:rsidRPr="005206CA">
              <w:rPr>
                <w:rFonts w:cs="Arial"/>
                <w:sz w:val="18"/>
                <w:szCs w:val="18"/>
              </w:rPr>
              <w:t xml:space="preserve"> </w:t>
            </w:r>
            <w:r w:rsidR="00AD5BC1" w:rsidRPr="005206CA">
              <w:rPr>
                <w:rFonts w:cs="Arial"/>
                <w:sz w:val="18"/>
                <w:szCs w:val="18"/>
              </w:rPr>
              <w:tab/>
            </w:r>
            <w:bookmarkStart w:id="1549" w:name="_Ref500236890"/>
            <w:r w:rsidR="00E827D8" w:rsidRPr="005206CA">
              <w:rPr>
                <w:sz w:val="18"/>
                <w:szCs w:val="18"/>
                <w:lang w:val="en-US"/>
              </w:rPr>
              <w:t>The C</w:t>
            </w:r>
            <w:r w:rsidR="00951588" w:rsidRPr="005206CA">
              <w:rPr>
                <w:sz w:val="18"/>
                <w:szCs w:val="18"/>
                <w:lang w:val="en-US"/>
              </w:rPr>
              <w:t xml:space="preserve">lean </w:t>
            </w:r>
            <w:r w:rsidR="00E827D8" w:rsidRPr="005206CA">
              <w:rPr>
                <w:sz w:val="18"/>
                <w:szCs w:val="18"/>
                <w:lang w:val="en-US"/>
              </w:rPr>
              <w:t>E</w:t>
            </w:r>
            <w:r w:rsidR="00951588" w:rsidRPr="005206CA">
              <w:rPr>
                <w:sz w:val="18"/>
                <w:szCs w:val="18"/>
                <w:lang w:val="en-US"/>
              </w:rPr>
              <w:t xml:space="preserve">nergy </w:t>
            </w:r>
            <w:r w:rsidR="00E827D8" w:rsidRPr="005206CA">
              <w:rPr>
                <w:sz w:val="18"/>
                <w:szCs w:val="18"/>
                <w:lang w:val="en-US"/>
              </w:rPr>
              <w:t>R</w:t>
            </w:r>
            <w:r w:rsidR="00951588" w:rsidRPr="005206CA">
              <w:rPr>
                <w:sz w:val="18"/>
                <w:szCs w:val="18"/>
                <w:lang w:val="en-US"/>
              </w:rPr>
              <w:t>egulator</w:t>
            </w:r>
            <w:r w:rsidR="00E827D8" w:rsidRPr="005206CA">
              <w:rPr>
                <w:sz w:val="18"/>
                <w:szCs w:val="18"/>
                <w:lang w:val="en-US"/>
              </w:rPr>
              <w:t xml:space="preserve"> publish timely information about the holding</w:t>
            </w:r>
            <w:r w:rsidR="0033387E">
              <w:rPr>
                <w:sz w:val="18"/>
                <w:szCs w:val="18"/>
                <w:lang w:val="en-US"/>
              </w:rPr>
              <w:t>s</w:t>
            </w:r>
            <w:r w:rsidR="00E827D8" w:rsidRPr="005206CA">
              <w:rPr>
                <w:sz w:val="18"/>
                <w:szCs w:val="18"/>
                <w:lang w:val="en-US"/>
              </w:rPr>
              <w:t xml:space="preserve"> of A</w:t>
            </w:r>
            <w:r w:rsidR="00951588" w:rsidRPr="005206CA">
              <w:rPr>
                <w:sz w:val="18"/>
                <w:szCs w:val="18"/>
                <w:lang w:val="en-US"/>
              </w:rPr>
              <w:t xml:space="preserve">ustralian </w:t>
            </w:r>
            <w:r w:rsidR="00E827D8" w:rsidRPr="005206CA">
              <w:rPr>
                <w:sz w:val="18"/>
                <w:szCs w:val="18"/>
                <w:lang w:val="en-US"/>
              </w:rPr>
              <w:t>C</w:t>
            </w:r>
            <w:r w:rsidR="00951588" w:rsidRPr="005206CA">
              <w:rPr>
                <w:sz w:val="18"/>
                <w:szCs w:val="18"/>
                <w:lang w:val="en-US"/>
              </w:rPr>
              <w:t xml:space="preserve">arbon </w:t>
            </w:r>
            <w:r w:rsidR="00E827D8" w:rsidRPr="005206CA">
              <w:rPr>
                <w:sz w:val="18"/>
                <w:szCs w:val="18"/>
                <w:lang w:val="en-US"/>
              </w:rPr>
              <w:t>C</w:t>
            </w:r>
            <w:r w:rsidR="00951588" w:rsidRPr="005206CA">
              <w:rPr>
                <w:sz w:val="18"/>
                <w:szCs w:val="18"/>
                <w:lang w:val="en-US"/>
              </w:rPr>
              <w:t xml:space="preserve">redit </w:t>
            </w:r>
            <w:r w:rsidR="00E827D8" w:rsidRPr="005206CA">
              <w:rPr>
                <w:sz w:val="18"/>
                <w:szCs w:val="18"/>
                <w:lang w:val="en-US"/>
              </w:rPr>
              <w:t>U</w:t>
            </w:r>
            <w:r w:rsidR="00951588" w:rsidRPr="005206CA">
              <w:rPr>
                <w:sz w:val="18"/>
                <w:szCs w:val="18"/>
                <w:lang w:val="en-US"/>
              </w:rPr>
              <w:t>nit</w:t>
            </w:r>
            <w:r w:rsidR="00E827D8" w:rsidRPr="005206CA">
              <w:rPr>
                <w:sz w:val="18"/>
                <w:szCs w:val="18"/>
                <w:lang w:val="en-US"/>
              </w:rPr>
              <w:t xml:space="preserve">s including ownership, volume and project method and a six monthly </w:t>
            </w:r>
            <w:r w:rsidR="005D4D16" w:rsidRPr="005206CA">
              <w:rPr>
                <w:sz w:val="18"/>
                <w:szCs w:val="18"/>
                <w:lang w:val="en-US"/>
              </w:rPr>
              <w:t>‘</w:t>
            </w:r>
            <w:r w:rsidR="00E827D8" w:rsidRPr="005206CA">
              <w:rPr>
                <w:sz w:val="18"/>
                <w:szCs w:val="18"/>
                <w:lang w:val="en-US"/>
              </w:rPr>
              <w:t>statement of opportunities</w:t>
            </w:r>
            <w:r w:rsidR="005D4D16" w:rsidRPr="005206CA">
              <w:rPr>
                <w:sz w:val="18"/>
                <w:szCs w:val="18"/>
                <w:lang w:val="en-US"/>
              </w:rPr>
              <w:t>’</w:t>
            </w:r>
            <w:r w:rsidR="00E827D8" w:rsidRPr="005206CA">
              <w:rPr>
                <w:sz w:val="18"/>
                <w:szCs w:val="18"/>
                <w:lang w:val="en-US"/>
              </w:rPr>
              <w:t xml:space="preserve"> that sets out the forward </w:t>
            </w:r>
            <w:r w:rsidR="00635FF3" w:rsidRPr="005206CA">
              <w:rPr>
                <w:sz w:val="18"/>
                <w:szCs w:val="18"/>
                <w:lang w:val="en-US"/>
              </w:rPr>
              <w:t xml:space="preserve">delivery </w:t>
            </w:r>
            <w:r w:rsidR="00E827D8" w:rsidRPr="005206CA">
              <w:rPr>
                <w:sz w:val="18"/>
                <w:szCs w:val="18"/>
                <w:lang w:val="en-US"/>
              </w:rPr>
              <w:t>schedule for A</w:t>
            </w:r>
            <w:r w:rsidR="00951588" w:rsidRPr="005206CA">
              <w:rPr>
                <w:sz w:val="18"/>
                <w:szCs w:val="18"/>
                <w:lang w:val="en-US"/>
              </w:rPr>
              <w:t xml:space="preserve">ustralian </w:t>
            </w:r>
            <w:r w:rsidR="00E827D8" w:rsidRPr="005206CA">
              <w:rPr>
                <w:sz w:val="18"/>
                <w:szCs w:val="18"/>
                <w:lang w:val="en-US"/>
              </w:rPr>
              <w:t>C</w:t>
            </w:r>
            <w:r w:rsidR="00951588" w:rsidRPr="005206CA">
              <w:rPr>
                <w:sz w:val="18"/>
                <w:szCs w:val="18"/>
                <w:lang w:val="en-US"/>
              </w:rPr>
              <w:t xml:space="preserve">arbon </w:t>
            </w:r>
            <w:r w:rsidR="00E827D8" w:rsidRPr="005206CA">
              <w:rPr>
                <w:sz w:val="18"/>
                <w:szCs w:val="18"/>
                <w:lang w:val="en-US"/>
              </w:rPr>
              <w:t>C</w:t>
            </w:r>
            <w:r w:rsidR="00951588" w:rsidRPr="005206CA">
              <w:rPr>
                <w:sz w:val="18"/>
                <w:szCs w:val="18"/>
                <w:lang w:val="en-US"/>
              </w:rPr>
              <w:t xml:space="preserve">redit </w:t>
            </w:r>
            <w:r w:rsidR="00E827D8" w:rsidRPr="005206CA">
              <w:rPr>
                <w:sz w:val="18"/>
                <w:szCs w:val="18"/>
                <w:lang w:val="en-US"/>
              </w:rPr>
              <w:t>U</w:t>
            </w:r>
            <w:r w:rsidR="00951588" w:rsidRPr="005206CA">
              <w:rPr>
                <w:sz w:val="18"/>
                <w:szCs w:val="18"/>
                <w:lang w:val="en-US"/>
              </w:rPr>
              <w:t>nit</w:t>
            </w:r>
            <w:r w:rsidR="00635FF3" w:rsidRPr="005206CA">
              <w:rPr>
                <w:sz w:val="18"/>
                <w:szCs w:val="18"/>
                <w:lang w:val="en-US"/>
              </w:rPr>
              <w:t xml:space="preserve">s </w:t>
            </w:r>
            <w:r w:rsidR="00E827D8" w:rsidRPr="005206CA">
              <w:rPr>
                <w:sz w:val="18"/>
                <w:szCs w:val="18"/>
                <w:lang w:val="en-US"/>
              </w:rPr>
              <w:t>from E</w:t>
            </w:r>
            <w:r w:rsidR="00951588" w:rsidRPr="005206CA">
              <w:rPr>
                <w:sz w:val="18"/>
                <w:szCs w:val="18"/>
                <w:lang w:val="en-US"/>
              </w:rPr>
              <w:t xml:space="preserve">missions </w:t>
            </w:r>
            <w:r w:rsidR="00E827D8" w:rsidRPr="005206CA">
              <w:rPr>
                <w:sz w:val="18"/>
                <w:szCs w:val="18"/>
                <w:lang w:val="en-US"/>
              </w:rPr>
              <w:t>R</w:t>
            </w:r>
            <w:r w:rsidR="00951588" w:rsidRPr="005206CA">
              <w:rPr>
                <w:sz w:val="18"/>
                <w:szCs w:val="18"/>
                <w:lang w:val="en-US"/>
              </w:rPr>
              <w:t xml:space="preserve">eduction </w:t>
            </w:r>
            <w:r w:rsidR="00E827D8" w:rsidRPr="005206CA">
              <w:rPr>
                <w:sz w:val="18"/>
                <w:szCs w:val="18"/>
                <w:lang w:val="en-US"/>
              </w:rPr>
              <w:t>F</w:t>
            </w:r>
            <w:r w:rsidR="00951588" w:rsidRPr="005206CA">
              <w:rPr>
                <w:sz w:val="18"/>
                <w:szCs w:val="18"/>
                <w:lang w:val="en-US"/>
              </w:rPr>
              <w:t>und</w:t>
            </w:r>
            <w:r w:rsidR="00E827D8" w:rsidRPr="005206CA">
              <w:rPr>
                <w:sz w:val="18"/>
                <w:szCs w:val="18"/>
                <w:lang w:val="en-US"/>
              </w:rPr>
              <w:t xml:space="preserve"> contracts, the availability of A</w:t>
            </w:r>
            <w:r w:rsidR="00951588" w:rsidRPr="005206CA">
              <w:rPr>
                <w:sz w:val="18"/>
                <w:szCs w:val="18"/>
                <w:lang w:val="en-US"/>
              </w:rPr>
              <w:t xml:space="preserve">ustralian </w:t>
            </w:r>
            <w:r w:rsidR="00E827D8" w:rsidRPr="005206CA">
              <w:rPr>
                <w:sz w:val="18"/>
                <w:szCs w:val="18"/>
                <w:lang w:val="en-US"/>
              </w:rPr>
              <w:t>C</w:t>
            </w:r>
            <w:r w:rsidR="00951588" w:rsidRPr="005206CA">
              <w:rPr>
                <w:sz w:val="18"/>
                <w:szCs w:val="18"/>
                <w:lang w:val="en-US"/>
              </w:rPr>
              <w:t xml:space="preserve">arbon </w:t>
            </w:r>
            <w:r w:rsidR="00E827D8" w:rsidRPr="005206CA">
              <w:rPr>
                <w:sz w:val="18"/>
                <w:szCs w:val="18"/>
                <w:lang w:val="en-US"/>
              </w:rPr>
              <w:t>C</w:t>
            </w:r>
            <w:r w:rsidR="00951588" w:rsidRPr="005206CA">
              <w:rPr>
                <w:sz w:val="18"/>
                <w:szCs w:val="18"/>
                <w:lang w:val="en-US"/>
              </w:rPr>
              <w:t xml:space="preserve">redit </w:t>
            </w:r>
            <w:r w:rsidR="00E827D8" w:rsidRPr="005206CA">
              <w:rPr>
                <w:sz w:val="18"/>
                <w:szCs w:val="18"/>
                <w:lang w:val="en-US"/>
              </w:rPr>
              <w:t>U</w:t>
            </w:r>
            <w:r w:rsidR="00951588" w:rsidRPr="005206CA">
              <w:rPr>
                <w:sz w:val="18"/>
                <w:szCs w:val="18"/>
                <w:lang w:val="en-US"/>
              </w:rPr>
              <w:t>nit</w:t>
            </w:r>
            <w:r w:rsidR="00E827D8" w:rsidRPr="005206CA">
              <w:rPr>
                <w:sz w:val="18"/>
                <w:szCs w:val="18"/>
                <w:lang w:val="en-US"/>
              </w:rPr>
              <w:t>s in the secondary market and, to the extent known, indicative demand and prices for A</w:t>
            </w:r>
            <w:r w:rsidR="00951588" w:rsidRPr="005206CA">
              <w:rPr>
                <w:sz w:val="18"/>
                <w:szCs w:val="18"/>
                <w:lang w:val="en-US"/>
              </w:rPr>
              <w:t xml:space="preserve">ustralian </w:t>
            </w:r>
            <w:r w:rsidR="00E827D8" w:rsidRPr="005206CA">
              <w:rPr>
                <w:sz w:val="18"/>
                <w:szCs w:val="18"/>
                <w:lang w:val="en-US"/>
              </w:rPr>
              <w:t>C</w:t>
            </w:r>
            <w:r w:rsidR="00951588" w:rsidRPr="005206CA">
              <w:rPr>
                <w:sz w:val="18"/>
                <w:szCs w:val="18"/>
                <w:lang w:val="en-US"/>
              </w:rPr>
              <w:t xml:space="preserve">arbon </w:t>
            </w:r>
            <w:r w:rsidR="00E827D8" w:rsidRPr="005206CA">
              <w:rPr>
                <w:sz w:val="18"/>
                <w:szCs w:val="18"/>
                <w:lang w:val="en-US"/>
              </w:rPr>
              <w:t>C</w:t>
            </w:r>
            <w:r w:rsidR="00951588" w:rsidRPr="005206CA">
              <w:rPr>
                <w:sz w:val="18"/>
                <w:szCs w:val="18"/>
                <w:lang w:val="en-US"/>
              </w:rPr>
              <w:t xml:space="preserve">redit </w:t>
            </w:r>
            <w:r w:rsidR="00E827D8" w:rsidRPr="005206CA">
              <w:rPr>
                <w:sz w:val="18"/>
                <w:szCs w:val="18"/>
                <w:lang w:val="en-US"/>
              </w:rPr>
              <w:t>U</w:t>
            </w:r>
            <w:r w:rsidR="00951588" w:rsidRPr="005206CA">
              <w:rPr>
                <w:sz w:val="18"/>
                <w:szCs w:val="18"/>
                <w:lang w:val="en-US"/>
              </w:rPr>
              <w:t>nit</w:t>
            </w:r>
            <w:r w:rsidR="00E827D8" w:rsidRPr="005206CA">
              <w:rPr>
                <w:sz w:val="18"/>
                <w:szCs w:val="18"/>
                <w:lang w:val="en-US"/>
              </w:rPr>
              <w:t>s.</w:t>
            </w:r>
            <w:bookmarkEnd w:id="1538"/>
            <w:bookmarkEnd w:id="1539"/>
            <w:bookmarkEnd w:id="1540"/>
            <w:bookmarkEnd w:id="1541"/>
            <w:bookmarkEnd w:id="1542"/>
            <w:bookmarkEnd w:id="1543"/>
            <w:bookmarkEnd w:id="1544"/>
            <w:bookmarkEnd w:id="1545"/>
            <w:bookmarkEnd w:id="1546"/>
            <w:bookmarkEnd w:id="1547"/>
            <w:bookmarkEnd w:id="1548"/>
            <w:bookmarkEnd w:id="1549"/>
          </w:p>
        </w:tc>
      </w:tr>
    </w:tbl>
    <w:p w14:paraId="35988B63" w14:textId="77777777" w:rsidR="006D0CD4" w:rsidRPr="005206CA" w:rsidRDefault="00BD32EF" w:rsidP="009D0D17">
      <w:pPr>
        <w:pStyle w:val="Heading1"/>
        <w:numPr>
          <w:ilvl w:val="0"/>
          <w:numId w:val="44"/>
        </w:numPr>
        <w:ind w:left="357" w:hanging="357"/>
      </w:pPr>
      <w:bookmarkStart w:id="1550" w:name="_Ref497377695"/>
      <w:r w:rsidRPr="005206CA">
        <w:t xml:space="preserve"> </w:t>
      </w:r>
      <w:bookmarkStart w:id="1551" w:name="_Toc497819517"/>
      <w:bookmarkStart w:id="1552" w:name="_Toc498691586"/>
      <w:bookmarkStart w:id="1553" w:name="_Toc499043765"/>
      <w:bookmarkStart w:id="1554" w:name="_Toc499051790"/>
      <w:bookmarkStart w:id="1555" w:name="_Ref500246744"/>
      <w:bookmarkStart w:id="1556" w:name="_Ref500247977"/>
      <w:bookmarkStart w:id="1557" w:name="_Toc500251143"/>
      <w:bookmarkStart w:id="1558" w:name="_Toc500251418"/>
      <w:bookmarkStart w:id="1559" w:name="_Toc500254015"/>
      <w:bookmarkStart w:id="1560" w:name="_Toc500401522"/>
      <w:bookmarkStart w:id="1561" w:name="_Toc500491011"/>
      <w:bookmarkStart w:id="1562" w:name="_Toc500512948"/>
      <w:bookmarkStart w:id="1563" w:name="_Toc500514208"/>
      <w:bookmarkStart w:id="1564" w:name="_Toc500516260"/>
      <w:r w:rsidR="00A235E3" w:rsidRPr="005206CA">
        <w:t>Governance</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38282344" w14:textId="25BEBADA" w:rsidR="006D0CD4" w:rsidRPr="005206CA" w:rsidRDefault="00A235E3">
      <w:pPr>
        <w:pStyle w:val="Heading2"/>
      </w:pPr>
      <w:bookmarkStart w:id="1565" w:name="_Toc497819518"/>
      <w:bookmarkStart w:id="1566" w:name="_Toc498691587"/>
      <w:bookmarkStart w:id="1567" w:name="_Toc499043766"/>
      <w:bookmarkStart w:id="1568" w:name="_Toc499051791"/>
      <w:r w:rsidRPr="005206CA">
        <w:t xml:space="preserve"> </w:t>
      </w:r>
      <w:bookmarkStart w:id="1569" w:name="_Toc500251144"/>
      <w:bookmarkStart w:id="1570" w:name="_Toc500251419"/>
      <w:bookmarkStart w:id="1571" w:name="_Toc500254016"/>
      <w:bookmarkStart w:id="1572" w:name="_Toc500401523"/>
      <w:bookmarkStart w:id="1573" w:name="_Toc500491012"/>
      <w:bookmarkStart w:id="1574" w:name="_Toc500512949"/>
      <w:bookmarkStart w:id="1575" w:name="_Toc500514209"/>
      <w:bookmarkStart w:id="1576" w:name="_Toc500516261"/>
      <w:bookmarkEnd w:id="1565"/>
      <w:bookmarkEnd w:id="1566"/>
      <w:bookmarkEnd w:id="1567"/>
      <w:bookmarkEnd w:id="1568"/>
      <w:r w:rsidR="00517703" w:rsidRPr="005206CA">
        <w:t>Administration</w:t>
      </w:r>
      <w:bookmarkEnd w:id="1569"/>
      <w:bookmarkEnd w:id="1570"/>
      <w:bookmarkEnd w:id="1571"/>
      <w:bookmarkEnd w:id="1572"/>
      <w:bookmarkEnd w:id="1573"/>
      <w:bookmarkEnd w:id="1574"/>
      <w:bookmarkEnd w:id="1575"/>
      <w:bookmarkEnd w:id="1576"/>
      <w:r w:rsidR="006D0CD4" w:rsidRPr="005206CA">
        <w:tab/>
      </w:r>
    </w:p>
    <w:p w14:paraId="76DDBA6C" w14:textId="37789CDD" w:rsidR="006D0CD4" w:rsidRPr="005206CA" w:rsidRDefault="006D0CD4" w:rsidP="006D0CD4">
      <w:r w:rsidRPr="005206CA">
        <w:t xml:space="preserve">The Clean Energy Regulator (CER), </w:t>
      </w:r>
      <w:r w:rsidR="00635FF3" w:rsidRPr="005206CA">
        <w:t xml:space="preserve">the </w:t>
      </w:r>
      <w:r w:rsidRPr="005206CA">
        <w:t>Department of the Environment and Energy and the Emissions Reduction Assurance Committee (ERAC) all have a role in the governance of the E</w:t>
      </w:r>
      <w:r w:rsidR="00CF0845" w:rsidRPr="005206CA">
        <w:t xml:space="preserve">missions </w:t>
      </w:r>
      <w:r w:rsidRPr="005206CA">
        <w:t>R</w:t>
      </w:r>
      <w:r w:rsidR="00CF0845" w:rsidRPr="005206CA">
        <w:t xml:space="preserve">eduction </w:t>
      </w:r>
      <w:r w:rsidRPr="005206CA">
        <w:t>F</w:t>
      </w:r>
      <w:r w:rsidR="00CF0845" w:rsidRPr="005206CA">
        <w:t>und (ERF)</w:t>
      </w:r>
      <w:r w:rsidRPr="005206CA">
        <w:t xml:space="preserve"> (</w:t>
      </w:r>
      <w:r w:rsidRPr="00AC7279">
        <w:rPr>
          <w:rStyle w:val="SectionChapterChar"/>
        </w:rPr>
        <w:t xml:space="preserve">Section </w:t>
      </w:r>
      <w:r w:rsidR="0001584E" w:rsidRPr="005206CA">
        <w:rPr>
          <w:rStyle w:val="SectionChapterChar"/>
        </w:rPr>
        <w:fldChar w:fldCharType="begin"/>
      </w:r>
      <w:r w:rsidR="0001584E" w:rsidRPr="005206CA">
        <w:rPr>
          <w:rStyle w:val="SectionChapterChar"/>
        </w:rPr>
        <w:instrText xml:space="preserve"> REF _Ref500248207 \w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2.3</w:t>
      </w:r>
      <w:r w:rsidR="0001584E" w:rsidRPr="005206CA">
        <w:rPr>
          <w:rStyle w:val="SectionChapterChar"/>
        </w:rPr>
        <w:fldChar w:fldCharType="end"/>
      </w:r>
      <w:r w:rsidRPr="005206CA">
        <w:t xml:space="preserve">). </w:t>
      </w:r>
    </w:p>
    <w:p w14:paraId="3345AF74" w14:textId="3436C2F3" w:rsidR="006D0CD4" w:rsidRPr="005206CA" w:rsidRDefault="006D0CD4" w:rsidP="006D0CD4">
      <w:r w:rsidRPr="005206CA">
        <w:t xml:space="preserve">The CER is the primary administrator and regulator of the ERF. The CER is responsible for registering projects, running auctions, establishing contracts, issuing </w:t>
      </w:r>
      <w:r w:rsidR="00906DA7" w:rsidRPr="005206CA">
        <w:t>A</w:t>
      </w:r>
      <w:r w:rsidR="00CF0845" w:rsidRPr="005206CA">
        <w:t xml:space="preserve">ustralian </w:t>
      </w:r>
      <w:r w:rsidR="00906DA7" w:rsidRPr="005206CA">
        <w:t>C</w:t>
      </w:r>
      <w:r w:rsidR="00CF0845" w:rsidRPr="005206CA">
        <w:t xml:space="preserve">arbon </w:t>
      </w:r>
      <w:r w:rsidR="00906DA7" w:rsidRPr="005206CA">
        <w:t>C</w:t>
      </w:r>
      <w:r w:rsidR="00CF0845" w:rsidRPr="005206CA">
        <w:t xml:space="preserve">redit </w:t>
      </w:r>
      <w:r w:rsidR="00906DA7" w:rsidRPr="005206CA">
        <w:t>U</w:t>
      </w:r>
      <w:r w:rsidR="00CF0845" w:rsidRPr="005206CA">
        <w:t>nit</w:t>
      </w:r>
      <w:r w:rsidR="00906DA7" w:rsidRPr="005206CA">
        <w:t>s</w:t>
      </w:r>
      <w:r w:rsidRPr="005206CA">
        <w:t xml:space="preserve"> </w:t>
      </w:r>
      <w:r w:rsidR="00354BA9">
        <w:t xml:space="preserve">(ACCUs) </w:t>
      </w:r>
      <w:r w:rsidRPr="005206CA">
        <w:t xml:space="preserve">and monitoring compliance. </w:t>
      </w:r>
      <w:r w:rsidR="00036DC9" w:rsidRPr="005206CA">
        <w:t xml:space="preserve">The Department </w:t>
      </w:r>
      <w:r w:rsidRPr="005206CA">
        <w:t xml:space="preserve">is responsible for overall policy direction, method prioritisation, development and reviews, maintenance of tools that support methods, secretariat support to the ERAC and general public engagement and promotion. </w:t>
      </w:r>
    </w:p>
    <w:p w14:paraId="1368D67A" w14:textId="032F086F" w:rsidR="006D0CD4" w:rsidRPr="005206CA" w:rsidRDefault="006D0CD4" w:rsidP="006D0CD4">
      <w:r w:rsidRPr="005206CA">
        <w:t xml:space="preserve">The CER and </w:t>
      </w:r>
      <w:r w:rsidR="00036DC9" w:rsidRPr="005206CA">
        <w:t>the Department</w:t>
      </w:r>
      <w:r w:rsidRPr="005206CA">
        <w:t xml:space="preserve"> seek to actively manage a range of risks to the ERF. These include ensuring consistency with the requirements of the </w:t>
      </w:r>
      <w:r w:rsidRPr="005206CA">
        <w:rPr>
          <w:i/>
        </w:rPr>
        <w:t>C</w:t>
      </w:r>
      <w:r w:rsidR="006F423F" w:rsidRPr="005206CA">
        <w:rPr>
          <w:i/>
        </w:rPr>
        <w:t xml:space="preserve">arbon Credits (Carbon </w:t>
      </w:r>
      <w:r w:rsidRPr="005206CA">
        <w:rPr>
          <w:i/>
        </w:rPr>
        <w:t>F</w:t>
      </w:r>
      <w:r w:rsidR="006F423F" w:rsidRPr="005206CA">
        <w:rPr>
          <w:i/>
        </w:rPr>
        <w:t xml:space="preserve">arming </w:t>
      </w:r>
      <w:r w:rsidRPr="005206CA">
        <w:rPr>
          <w:i/>
        </w:rPr>
        <w:t>I</w:t>
      </w:r>
      <w:r w:rsidR="006F423F" w:rsidRPr="005206CA">
        <w:rPr>
          <w:i/>
        </w:rPr>
        <w:t>nitiative)</w:t>
      </w:r>
      <w:r w:rsidRPr="005206CA">
        <w:rPr>
          <w:i/>
        </w:rPr>
        <w:t xml:space="preserve"> Act</w:t>
      </w:r>
      <w:r w:rsidR="006F423F" w:rsidRPr="005206CA">
        <w:rPr>
          <w:i/>
        </w:rPr>
        <w:t xml:space="preserve"> 2011</w:t>
      </w:r>
      <w:r w:rsidR="006F423F" w:rsidRPr="005206CA">
        <w:t xml:space="preserve"> (</w:t>
      </w:r>
      <w:r w:rsidR="006F423F" w:rsidRPr="005206CA">
        <w:rPr>
          <w:rStyle w:val="In-textChar"/>
        </w:rPr>
        <w:t>Cth</w:t>
      </w:r>
      <w:r w:rsidR="006F423F" w:rsidRPr="005206CA">
        <w:t>)</w:t>
      </w:r>
      <w:r w:rsidRPr="005206CA">
        <w:t xml:space="preserve"> such as the offsets integrity standards and value for money as well as managing direct risks associated with non-compliance such as fraud or workplace health and safety. The CER has developed guidance on applying the </w:t>
      </w:r>
      <w:r w:rsidR="00CF0ECD">
        <w:t>F</w:t>
      </w:r>
      <w:r w:rsidRPr="005206CA">
        <w:t xml:space="preserve">it and </w:t>
      </w:r>
      <w:r w:rsidR="00CF0ECD">
        <w:t>P</w:t>
      </w:r>
      <w:r w:rsidR="00CF0ECD" w:rsidRPr="005206CA">
        <w:t>roper</w:t>
      </w:r>
      <w:r w:rsidRPr="005206CA" w:rsidDel="00CF0ECD">
        <w:t xml:space="preserve"> </w:t>
      </w:r>
      <w:r w:rsidR="00CF0ECD">
        <w:t>P</w:t>
      </w:r>
      <w:r w:rsidR="00CF0ECD" w:rsidRPr="005206CA">
        <w:t>erson</w:t>
      </w:r>
      <w:r w:rsidRPr="005206CA">
        <w:t xml:space="preserve"> test and is currently developing additional guidance on legal right, eligible interest holder consents and native title. As discussed in </w:t>
      </w:r>
      <w:r w:rsidR="0001584E" w:rsidRPr="005206CA">
        <w:rPr>
          <w:rStyle w:val="SectionChapterChar"/>
        </w:rPr>
        <w:fldChar w:fldCharType="begin"/>
      </w:r>
      <w:r w:rsidR="0001584E" w:rsidRPr="005206CA">
        <w:rPr>
          <w:rStyle w:val="SectionChapterChar"/>
        </w:rPr>
        <w:instrText xml:space="preserve"> REF _Ref500248232 \r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Chapter 5</w:t>
      </w:r>
      <w:r w:rsidR="0001584E" w:rsidRPr="005206CA">
        <w:rPr>
          <w:rStyle w:val="SectionChapterChar"/>
        </w:rPr>
        <w:fldChar w:fldCharType="end"/>
      </w:r>
      <w:r w:rsidR="007D03CE" w:rsidRPr="00AC7279">
        <w:rPr>
          <w:rStyle w:val="SectionChapterChar"/>
        </w:rPr>
        <w:t xml:space="preserve"> and </w:t>
      </w:r>
      <w:r w:rsidR="0001584E" w:rsidRPr="005206CA">
        <w:rPr>
          <w:rStyle w:val="SectionChapterChar"/>
        </w:rPr>
        <w:fldChar w:fldCharType="begin"/>
      </w:r>
      <w:r w:rsidR="0001584E" w:rsidRPr="005206CA">
        <w:rPr>
          <w:rStyle w:val="SectionChapterChar"/>
        </w:rPr>
        <w:instrText xml:space="preserve"> REF _Ref500248305 \r \h </w:instrText>
      </w:r>
      <w:r w:rsid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Chapter 7</w:t>
      </w:r>
      <w:r w:rsidR="0001584E" w:rsidRPr="005206CA">
        <w:rPr>
          <w:rStyle w:val="SectionChapterChar"/>
        </w:rPr>
        <w:fldChar w:fldCharType="end"/>
      </w:r>
      <w:r w:rsidRPr="005206CA">
        <w:t xml:space="preserve">, the Authority is of the view that the CER and </w:t>
      </w:r>
      <w:r w:rsidR="00036DC9" w:rsidRPr="005206CA">
        <w:t>the Department</w:t>
      </w:r>
      <w:r w:rsidRPr="005206CA">
        <w:t xml:space="preserve"> should continue to develop and disseminate clear public guidance on ERF policy and administrative issues. </w:t>
      </w:r>
    </w:p>
    <w:p w14:paraId="37F8B7EC" w14:textId="6573337E" w:rsidR="006D0CD4" w:rsidRPr="005206CA" w:rsidRDefault="006D0CD4" w:rsidP="006D0CD4">
      <w:r w:rsidRPr="005206CA">
        <w:t xml:space="preserve">In 2016 the Australian National Audit Office </w:t>
      </w:r>
      <w:r w:rsidR="006F423F" w:rsidRPr="005206CA">
        <w:t xml:space="preserve">(ANAO) </w:t>
      </w:r>
      <w:r w:rsidRPr="005206CA">
        <w:t xml:space="preserve">examined the crediting and purchasing elements of the first two auctions under the ERF. The </w:t>
      </w:r>
      <w:r w:rsidRPr="005206CA">
        <w:rPr>
          <w:rStyle w:val="In-textChar"/>
        </w:rPr>
        <w:t>ANAO (2016</w:t>
      </w:r>
      <w:r w:rsidRPr="005206CA">
        <w:t>) found that in general ‘applications for fund project registration and variation have been effectively assessed by the regulator’</w:t>
      </w:r>
      <w:r w:rsidR="008F7EE7" w:rsidRPr="005206CA">
        <w:t xml:space="preserve"> (p. 8)</w:t>
      </w:r>
      <w:r w:rsidRPr="005206CA">
        <w:t xml:space="preserve">. The report found, however, that documentation of decisions could be improved to demonstrate the basis on which registration decisions had been made. </w:t>
      </w:r>
    </w:p>
    <w:p w14:paraId="5BB4BC03" w14:textId="061B8815" w:rsidR="006D0CD4" w:rsidRPr="005206CA" w:rsidRDefault="006D0CD4" w:rsidP="006D0CD4">
      <w:r w:rsidRPr="005206CA">
        <w:t xml:space="preserve">For this review, the Authority asked stakeholders for their views on ERF governance arrangements. </w:t>
      </w:r>
    </w:p>
    <w:p w14:paraId="3F9DB2C8" w14:textId="694045AC" w:rsidR="006D0CD4" w:rsidRPr="005206CA" w:rsidRDefault="007D03CE" w:rsidP="006D0CD4">
      <w:r w:rsidRPr="005206CA">
        <w:t xml:space="preserve">In their submission </w:t>
      </w:r>
      <w:r w:rsidR="00717E73" w:rsidRPr="005206CA">
        <w:t>on</w:t>
      </w:r>
      <w:r w:rsidRPr="005206CA">
        <w:t xml:space="preserve"> this r</w:t>
      </w:r>
      <w:r w:rsidR="006D0CD4" w:rsidRPr="005206CA">
        <w:t>e</w:t>
      </w:r>
      <w:r w:rsidRPr="005206CA">
        <w:t>view, GreenCollar stated that ‘</w:t>
      </w:r>
      <w:r w:rsidR="006D0CD4" w:rsidRPr="005206CA">
        <w:t>Governance</w:t>
      </w:r>
      <w:r w:rsidRPr="005206CA">
        <w:t xml:space="preserve"> seems to be agile and effective’</w:t>
      </w:r>
      <w:r w:rsidR="00E95A0B" w:rsidRPr="005206CA">
        <w:t xml:space="preserve"> (p. 11)</w:t>
      </w:r>
      <w:r w:rsidRPr="005206CA">
        <w:t xml:space="preserve"> and ‘</w:t>
      </w:r>
      <w:r w:rsidR="006D0CD4" w:rsidRPr="005206CA">
        <w:t>tr</w:t>
      </w:r>
      <w:r w:rsidRPr="005206CA">
        <w:t>ansaction costs are immaterial’</w:t>
      </w:r>
      <w:r w:rsidR="00E95A0B" w:rsidRPr="005206CA">
        <w:t xml:space="preserve"> (p. 11)</w:t>
      </w:r>
      <w:r w:rsidRPr="005206CA">
        <w:t>.</w:t>
      </w:r>
      <w:r w:rsidR="006D0CD4" w:rsidRPr="005206CA">
        <w:t xml:space="preserve"> Similar</w:t>
      </w:r>
      <w:r w:rsidRPr="005206CA">
        <w:t>ly, Arnhem Land Fire Abatement</w:t>
      </w:r>
      <w:r w:rsidR="006F423F" w:rsidRPr="005206CA">
        <w:t xml:space="preserve"> (ALFA)</w:t>
      </w:r>
      <w:r w:rsidRPr="005206CA">
        <w:t xml:space="preserve"> ‘</w:t>
      </w:r>
      <w:r w:rsidR="006D0CD4" w:rsidRPr="005206CA">
        <w:t>has not found the current transaction costs to be onerous and recognises that rigorous processes maintain the integrity of the scheme</w:t>
      </w:r>
      <w:r w:rsidR="00717E73" w:rsidRPr="005206CA">
        <w:t>’</w:t>
      </w:r>
      <w:r w:rsidR="00E95A0B" w:rsidRPr="005206CA">
        <w:t xml:space="preserve"> (submission on this review, p. 7).</w:t>
      </w:r>
    </w:p>
    <w:p w14:paraId="7EF00A04" w14:textId="5960004B" w:rsidR="006D0CD4" w:rsidRPr="005206CA" w:rsidRDefault="006D0CD4" w:rsidP="00E55312">
      <w:pPr>
        <w:rPr>
          <w:i/>
        </w:rPr>
      </w:pPr>
      <w:r w:rsidRPr="005206CA">
        <w:t>Other submissions, however, expressed concern about consistency and transparency of decision making. For example Climate Friendly said</w:t>
      </w:r>
      <w:r w:rsidR="00E95A0B" w:rsidRPr="005206CA">
        <w:rPr>
          <w:i/>
        </w:rPr>
        <w:t xml:space="preserve"> </w:t>
      </w:r>
      <w:r w:rsidR="00E95A0B" w:rsidRPr="005206CA">
        <w:t>‘</w:t>
      </w:r>
      <w:r w:rsidRPr="005206CA">
        <w:t xml:space="preserve">responses are often informal and remain un-documented. This can create an unfair advantage, or inconsistency in implementation approaches, for market participants that have </w:t>
      </w:r>
      <w:r w:rsidR="00D81FC8" w:rsidRPr="005206CA">
        <w:t>not received the same advice</w:t>
      </w:r>
      <w:r w:rsidR="00E95A0B" w:rsidRPr="005206CA">
        <w:t>’ (submission on this review, p. 9).</w:t>
      </w:r>
    </w:p>
    <w:p w14:paraId="575BB6AA" w14:textId="3E63296B" w:rsidR="006D0CD4" w:rsidRPr="005206CA" w:rsidRDefault="006D0CD4" w:rsidP="006D0CD4">
      <w:r w:rsidRPr="005206CA">
        <w:t>The Authority also received feedback from stakeholders on the continued need for simple online guidance on the ERF and mechanisms to ensure timely responses to online, email and phone enquiries.</w:t>
      </w:r>
    </w:p>
    <w:p w14:paraId="0A32EF67" w14:textId="59D42241" w:rsidR="00AD4AD5" w:rsidRPr="005206CA" w:rsidRDefault="006D0CD4" w:rsidP="006D0CD4">
      <w:r w:rsidRPr="005206CA">
        <w:t xml:space="preserve">For example, in their submission </w:t>
      </w:r>
      <w:r w:rsidR="00717E73" w:rsidRPr="005206CA">
        <w:t>on</w:t>
      </w:r>
      <w:r w:rsidRPr="005206CA">
        <w:t xml:space="preserve"> thi</w:t>
      </w:r>
      <w:r w:rsidR="007D03CE" w:rsidRPr="005206CA">
        <w:t>s review Climate Friendly said</w:t>
      </w:r>
      <w:r w:rsidR="00E662C0">
        <w:t>:</w:t>
      </w:r>
      <w:r w:rsidR="007D03CE" w:rsidRPr="005206CA">
        <w:t xml:space="preserve"> </w:t>
      </w:r>
    </w:p>
    <w:p w14:paraId="747B85AD" w14:textId="1A804469" w:rsidR="006D0CD4" w:rsidRPr="005206CA" w:rsidRDefault="006D0CD4" w:rsidP="00E55312">
      <w:pPr>
        <w:ind w:left="284"/>
      </w:pPr>
      <w:r w:rsidRPr="005206CA">
        <w:rPr>
          <w:i/>
        </w:rPr>
        <w:t xml:space="preserve">There remain numerous system glitches [in the CER’s online ERF portals], including differences between questions that appear in the portal and those that appear in printed </w:t>
      </w:r>
      <w:r w:rsidR="008F7EE7" w:rsidRPr="005206CA">
        <w:rPr>
          <w:i/>
        </w:rPr>
        <w:t xml:space="preserve">versions of the portal </w:t>
      </w:r>
      <w:r w:rsidRPr="005206CA">
        <w:rPr>
          <w:i/>
        </w:rPr>
        <w:t xml:space="preserve">form. Further, Climate Friendly regularly encounters problems with projects that we manage not appearing in the portal, which takes time and resources for both the Regulator </w:t>
      </w:r>
      <w:r w:rsidR="007D03CE" w:rsidRPr="005206CA">
        <w:rPr>
          <w:i/>
        </w:rPr>
        <w:t>and our organisation to resolve</w:t>
      </w:r>
      <w:r w:rsidR="00AD4AD5" w:rsidRPr="005206CA">
        <w:t xml:space="preserve"> (p.10)</w:t>
      </w:r>
      <w:r w:rsidRPr="005206CA">
        <w:t xml:space="preserve">. </w:t>
      </w:r>
    </w:p>
    <w:p w14:paraId="41C42998" w14:textId="422CF483" w:rsidR="006D0CD4" w:rsidRPr="005206CA" w:rsidRDefault="006D0CD4" w:rsidP="006D0CD4">
      <w:r w:rsidRPr="005206CA">
        <w:t xml:space="preserve">The Aboriginal Carbon Fund also told the Authority that while CER staff are very professional, it was sometimes difficult to get </w:t>
      </w:r>
      <w:r w:rsidR="00AF757D" w:rsidRPr="005206CA">
        <w:t xml:space="preserve">forms and reports through </w:t>
      </w:r>
      <w:r w:rsidRPr="005206CA">
        <w:t>the CER. They also emphasised the importance of clear, consistent guidance being available on the website.</w:t>
      </w:r>
    </w:p>
    <w:p w14:paraId="5F16DB54" w14:textId="77777777" w:rsidR="00C864FE" w:rsidRPr="005206CA" w:rsidRDefault="006D0CD4" w:rsidP="006D0CD4">
      <w:r w:rsidRPr="005206CA">
        <w:t xml:space="preserve">Other submissions, however, supported the CER’s decision making processes. </w:t>
      </w:r>
      <w:r w:rsidR="007D03CE" w:rsidRPr="005206CA">
        <w:t>For example, GreenCollar said ‘</w:t>
      </w:r>
      <w:r w:rsidRPr="005206CA">
        <w:t xml:space="preserve">the current processes strike an effective balance between market integrity and scheme </w:t>
      </w:r>
      <w:r w:rsidR="007D03CE" w:rsidRPr="005206CA">
        <w:t xml:space="preserve">participation’ </w:t>
      </w:r>
      <w:r w:rsidR="00AD4AD5" w:rsidRPr="005206CA">
        <w:t xml:space="preserve">(submission on this review, p. 8), </w:t>
      </w:r>
      <w:r w:rsidR="007D03CE" w:rsidRPr="005206CA">
        <w:t>while ALFA said</w:t>
      </w:r>
      <w:r w:rsidR="00C864FE" w:rsidRPr="005206CA">
        <w:t>:</w:t>
      </w:r>
    </w:p>
    <w:p w14:paraId="1D7C8DDA" w14:textId="24B9D9C0" w:rsidR="006D0CD4" w:rsidRPr="005206CA" w:rsidRDefault="006D0CD4" w:rsidP="00AC7279">
      <w:pPr>
        <w:ind w:left="284"/>
      </w:pPr>
      <w:r w:rsidRPr="00AC7279">
        <w:rPr>
          <w:i/>
        </w:rPr>
        <w:t>experience to date with the operational aspects of the ERF and the CER has been very positive. Information provided on the website and directly by staff members is informative and very helpful and the decision making is consistent a</w:t>
      </w:r>
      <w:r w:rsidR="007D03CE" w:rsidRPr="00AC7279">
        <w:rPr>
          <w:i/>
        </w:rPr>
        <w:t>nd in line with the legislation</w:t>
      </w:r>
      <w:r w:rsidR="00AD4AD5" w:rsidRPr="00AC7279">
        <w:rPr>
          <w:i/>
        </w:rPr>
        <w:t xml:space="preserve"> </w:t>
      </w:r>
      <w:r w:rsidR="00AD4AD5" w:rsidRPr="005206CA">
        <w:t>(submission on this review, p. 6)</w:t>
      </w:r>
      <w:r w:rsidRPr="005206CA">
        <w:t xml:space="preserve">. </w:t>
      </w:r>
    </w:p>
    <w:p w14:paraId="4E5AB1AC" w14:textId="0897E10C" w:rsidR="00641430" w:rsidRPr="005206CA" w:rsidRDefault="006D0CD4" w:rsidP="00641430">
      <w:r w:rsidRPr="005206CA">
        <w:t xml:space="preserve">After taking into account stakeholder views, the Authority is of the view that the CER should investigate ways to better meet client needs in terms of responding to </w:t>
      </w:r>
      <w:r w:rsidR="00A07D85" w:rsidRPr="005206CA">
        <w:t xml:space="preserve">complex </w:t>
      </w:r>
      <w:r w:rsidRPr="005206CA">
        <w:t>enquiries in a timely manner and providing transparent information about reasons for decisions. A survey of clients could be used to elicit views and inform the development of a work program to address these issues. The Authority suggests looking at best-practice examples from other se</w:t>
      </w:r>
      <w:r w:rsidR="007D03CE" w:rsidRPr="005206CA">
        <w:t>ctors such as real-time online ‘</w:t>
      </w:r>
      <w:r w:rsidRPr="005206CA">
        <w:t>do you want to ch</w:t>
      </w:r>
      <w:r w:rsidR="007D03CE" w:rsidRPr="005206CA">
        <w:t>at’</w:t>
      </w:r>
      <w:r w:rsidRPr="005206CA">
        <w:t xml:space="preserve"> help systems being used by </w:t>
      </w:r>
      <w:r w:rsidR="00E84000" w:rsidRPr="005206CA">
        <w:t xml:space="preserve">some </w:t>
      </w:r>
      <w:r w:rsidRPr="005206CA">
        <w:t xml:space="preserve">banks and telecommunications companies. </w:t>
      </w:r>
    </w:p>
    <w:tbl>
      <w:tblPr>
        <w:tblStyle w:val="TableGrid"/>
        <w:tblW w:w="0" w:type="auto"/>
        <w:shd w:val="clear" w:color="auto" w:fill="E6ECF2"/>
        <w:tblLook w:val="04A0" w:firstRow="1" w:lastRow="0" w:firstColumn="1" w:lastColumn="0" w:noHBand="0" w:noVBand="1"/>
      </w:tblPr>
      <w:tblGrid>
        <w:gridCol w:w="9202"/>
      </w:tblGrid>
      <w:tr w:rsidR="00641430" w:rsidRPr="005206CA" w14:paraId="2FA54852" w14:textId="77777777" w:rsidTr="00641430">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085EE649" w14:textId="77777777" w:rsidR="00641430" w:rsidRPr="005206CA" w:rsidRDefault="00641430">
            <w:pPr>
              <w:rPr>
                <w:rFonts w:cs="Arial"/>
                <w:b/>
                <w:color w:val="159DCE"/>
                <w:sz w:val="18"/>
                <w:szCs w:val="18"/>
              </w:rPr>
            </w:pPr>
            <w:r w:rsidRPr="005206CA">
              <w:rPr>
                <w:rFonts w:cs="Arial"/>
                <w:b/>
                <w:color w:val="159DCE"/>
                <w:sz w:val="18"/>
                <w:szCs w:val="18"/>
              </w:rPr>
              <w:t>RECOMMENDATION</w:t>
            </w:r>
          </w:p>
          <w:p w14:paraId="3BB526FB" w14:textId="27BC99A8" w:rsidR="00641430" w:rsidRPr="005206CA" w:rsidRDefault="00641430" w:rsidP="00234665">
            <w:pPr>
              <w:spacing w:after="140" w:line="320" w:lineRule="exact"/>
              <w:ind w:left="851" w:hanging="851"/>
              <w:rPr>
                <w:rFonts w:cs="Arial"/>
                <w:color w:val="414141"/>
                <w:sz w:val="18"/>
                <w:szCs w:val="18"/>
              </w:rPr>
            </w:pPr>
            <w:bookmarkStart w:id="1577" w:name="_Ref497828317"/>
            <w:bookmarkStart w:id="1578" w:name="_Toc497316914"/>
            <w:bookmarkStart w:id="1579" w:name="_Toc497827457"/>
            <w:bookmarkStart w:id="1580" w:name="_Toc497834093"/>
            <w:bookmarkStart w:id="1581" w:name="_Toc498534535"/>
            <w:bookmarkStart w:id="1582" w:name="_Toc498614730"/>
            <w:bookmarkStart w:id="1583" w:name="_Toc498691485"/>
            <w:bookmarkStart w:id="1584" w:name="_Toc499051684"/>
            <w:bookmarkStart w:id="1585" w:name="_Toc499202069"/>
            <w:bookmarkStart w:id="1586" w:name="_Toc499892353"/>
            <w:bookmarkStart w:id="1587" w:name="_Toc499898714"/>
            <w:bookmarkStart w:id="1588" w:name="_Toc499899354"/>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24</w:t>
            </w:r>
            <w:r w:rsidRPr="005206CA">
              <w:fldChar w:fldCharType="end"/>
            </w:r>
            <w:bookmarkEnd w:id="1577"/>
            <w:r w:rsidR="005D41E0">
              <w:t>.</w:t>
            </w:r>
            <w:r w:rsidRPr="005206CA">
              <w:rPr>
                <w:rFonts w:cs="Arial"/>
                <w:sz w:val="18"/>
                <w:szCs w:val="18"/>
              </w:rPr>
              <w:t xml:space="preserve"> </w:t>
            </w:r>
            <w:r w:rsidR="00AD5BC1" w:rsidRPr="005206CA">
              <w:rPr>
                <w:rFonts w:cs="Arial"/>
                <w:sz w:val="18"/>
                <w:szCs w:val="18"/>
              </w:rPr>
              <w:tab/>
            </w:r>
            <w:bookmarkStart w:id="1589" w:name="_Ref500236893"/>
            <w:r w:rsidRPr="005206CA">
              <w:rPr>
                <w:rFonts w:cs="Arial"/>
                <w:sz w:val="18"/>
                <w:szCs w:val="18"/>
              </w:rPr>
              <w:t>The C</w:t>
            </w:r>
            <w:r w:rsidR="00951588" w:rsidRPr="005206CA">
              <w:rPr>
                <w:rFonts w:cs="Arial"/>
                <w:sz w:val="18"/>
                <w:szCs w:val="18"/>
              </w:rPr>
              <w:t xml:space="preserve">lean </w:t>
            </w:r>
            <w:r w:rsidRPr="005206CA">
              <w:rPr>
                <w:rFonts w:cs="Arial"/>
                <w:sz w:val="18"/>
                <w:szCs w:val="18"/>
              </w:rPr>
              <w:t>E</w:t>
            </w:r>
            <w:r w:rsidR="00951588" w:rsidRPr="005206CA">
              <w:rPr>
                <w:rFonts w:cs="Arial"/>
                <w:sz w:val="18"/>
                <w:szCs w:val="18"/>
              </w:rPr>
              <w:t xml:space="preserve">nergy </w:t>
            </w:r>
            <w:r w:rsidRPr="005206CA">
              <w:rPr>
                <w:rFonts w:cs="Arial"/>
                <w:sz w:val="18"/>
                <w:szCs w:val="18"/>
              </w:rPr>
              <w:t>R</w:t>
            </w:r>
            <w:r w:rsidR="00951588" w:rsidRPr="005206CA">
              <w:rPr>
                <w:rFonts w:cs="Arial"/>
                <w:sz w:val="18"/>
                <w:szCs w:val="18"/>
              </w:rPr>
              <w:t>egulator</w:t>
            </w:r>
            <w:r w:rsidRPr="005206CA">
              <w:rPr>
                <w:rFonts w:cs="Arial"/>
                <w:sz w:val="18"/>
                <w:szCs w:val="18"/>
              </w:rPr>
              <w:t xml:space="preserve"> investigate ways to further enhance client services, particularly </w:t>
            </w:r>
            <w:r w:rsidR="00E827D8" w:rsidRPr="005206CA">
              <w:rPr>
                <w:rFonts w:cs="Arial"/>
                <w:sz w:val="18"/>
                <w:szCs w:val="18"/>
              </w:rPr>
              <w:t>when responding to complex</w:t>
            </w:r>
            <w:r w:rsidRPr="005206CA">
              <w:rPr>
                <w:rFonts w:cs="Arial"/>
                <w:sz w:val="18"/>
                <w:szCs w:val="18"/>
              </w:rPr>
              <w:t xml:space="preserve"> enquiries.</w:t>
            </w:r>
            <w:bookmarkEnd w:id="1578"/>
            <w:bookmarkEnd w:id="1579"/>
            <w:bookmarkEnd w:id="1580"/>
            <w:bookmarkEnd w:id="1581"/>
            <w:bookmarkEnd w:id="1582"/>
            <w:bookmarkEnd w:id="1583"/>
            <w:bookmarkEnd w:id="1584"/>
            <w:bookmarkEnd w:id="1585"/>
            <w:bookmarkEnd w:id="1586"/>
            <w:bookmarkEnd w:id="1587"/>
            <w:bookmarkEnd w:id="1588"/>
            <w:bookmarkEnd w:id="1589"/>
          </w:p>
        </w:tc>
      </w:tr>
    </w:tbl>
    <w:p w14:paraId="72D44329" w14:textId="77777777" w:rsidR="006D0CD4" w:rsidRPr="005206CA" w:rsidRDefault="006D0CD4" w:rsidP="00641430">
      <w:pPr>
        <w:spacing w:before="120"/>
      </w:pPr>
      <w:r w:rsidRPr="005206CA">
        <w:t xml:space="preserve">The Authority’s other findings that could improve governance for crediting, purchasing and other administrative issues are discussed in the relevant chapters in this report. </w:t>
      </w:r>
    </w:p>
    <w:p w14:paraId="26AFBBE0" w14:textId="725AA435" w:rsidR="00631702" w:rsidRPr="005206CA" w:rsidRDefault="00641430" w:rsidP="00631702">
      <w:pPr>
        <w:pStyle w:val="Heading2"/>
      </w:pPr>
      <w:bookmarkStart w:id="1590" w:name="_Toc497819519"/>
      <w:bookmarkStart w:id="1591" w:name="_Toc498691588"/>
      <w:bookmarkStart w:id="1592" w:name="_Toc499043767"/>
      <w:bookmarkStart w:id="1593" w:name="_Toc499051792"/>
      <w:bookmarkStart w:id="1594" w:name="_Toc500251145"/>
      <w:bookmarkStart w:id="1595" w:name="_Toc500251420"/>
      <w:bookmarkStart w:id="1596" w:name="_Toc500254017"/>
      <w:bookmarkStart w:id="1597" w:name="_Toc500401524"/>
      <w:bookmarkStart w:id="1598" w:name="_Toc500491013"/>
      <w:bookmarkStart w:id="1599" w:name="_Toc500512950"/>
      <w:bookmarkStart w:id="1600" w:name="_Toc500514210"/>
      <w:bookmarkStart w:id="1601" w:name="_Toc500516262"/>
      <w:r w:rsidRPr="005206CA">
        <w:t xml:space="preserve">Costs of administering the </w:t>
      </w:r>
      <w:r w:rsidR="006F4344" w:rsidRPr="005206CA">
        <w:t>E</w:t>
      </w:r>
      <w:r w:rsidR="00A31027" w:rsidRPr="005206CA">
        <w:t xml:space="preserve">missions </w:t>
      </w:r>
      <w:r w:rsidR="006F4344" w:rsidRPr="005206CA">
        <w:t>R</w:t>
      </w:r>
      <w:r w:rsidR="00A31027" w:rsidRPr="005206CA">
        <w:t xml:space="preserve">eduction </w:t>
      </w:r>
      <w:r w:rsidR="006F4344" w:rsidRPr="005206CA">
        <w:t>F</w:t>
      </w:r>
      <w:bookmarkEnd w:id="1590"/>
      <w:bookmarkEnd w:id="1591"/>
      <w:bookmarkEnd w:id="1592"/>
      <w:bookmarkEnd w:id="1593"/>
      <w:r w:rsidR="00A31027" w:rsidRPr="005206CA">
        <w:t>und</w:t>
      </w:r>
      <w:bookmarkEnd w:id="1594"/>
      <w:bookmarkEnd w:id="1595"/>
      <w:bookmarkEnd w:id="1596"/>
      <w:bookmarkEnd w:id="1597"/>
      <w:bookmarkEnd w:id="1598"/>
      <w:bookmarkEnd w:id="1599"/>
      <w:bookmarkEnd w:id="1600"/>
      <w:bookmarkEnd w:id="1601"/>
      <w:r w:rsidRPr="005206CA">
        <w:t xml:space="preserve"> </w:t>
      </w:r>
    </w:p>
    <w:p w14:paraId="7ADF7F10" w14:textId="77777777" w:rsidR="00E01BF1" w:rsidRPr="005206CA" w:rsidRDefault="00E01BF1" w:rsidP="00E01BF1">
      <w:r w:rsidRPr="008916B0">
        <w:t xml:space="preserve">The CER has a budget of $2.55 billion to purchase emissions abatement on behalf of the Government through the ERF. Total departmental funding allocated to the </w:t>
      </w:r>
      <w:r>
        <w:t>Clean Energy Regulator (</w:t>
      </w:r>
      <w:r w:rsidRPr="008916B0">
        <w:t>CER</w:t>
      </w:r>
      <w:r>
        <w:t>) in 2016-17 was $71 </w:t>
      </w:r>
      <w:r w:rsidRPr="008916B0">
        <w:t>million (</w:t>
      </w:r>
      <w:r w:rsidRPr="008916B0">
        <w:rPr>
          <w:rStyle w:val="In-textChar"/>
        </w:rPr>
        <w:t>Australian Government 2017</w:t>
      </w:r>
      <w:r w:rsidRPr="008916B0">
        <w:t>). In addition to the crediting and purchasing elements of the ERF, the CER is responsible for administering the Renewable Energy Target, the National Greenhouse and Energy Reporting scheme and the Safeguard. ERF functions are integrated with similar functions in other schemes which makes identifying ERF-specific costs challenging</w:t>
      </w:r>
      <w:r>
        <w:t>. However, t</w:t>
      </w:r>
      <w:r w:rsidRPr="005206CA">
        <w:t>he CER provided the Authority with an estimate of the cost of</w:t>
      </w:r>
      <w:r>
        <w:t xml:space="preserve"> administering the ERF from 2014-15</w:t>
      </w:r>
      <w:r w:rsidRPr="005206CA">
        <w:t xml:space="preserve"> to 2017-18, and also the expected cost of purchasing abatement over that time. </w:t>
      </w:r>
    </w:p>
    <w:p w14:paraId="6B1A81AB" w14:textId="77777777" w:rsidR="00E01BF1" w:rsidRDefault="00E01BF1" w:rsidP="00E01BF1">
      <w:r w:rsidRPr="008916B0">
        <w:t xml:space="preserve">The CER conducts </w:t>
      </w:r>
      <w:r>
        <w:t xml:space="preserve">a range of different activities to administer </w:t>
      </w:r>
      <w:r w:rsidRPr="008916B0">
        <w:t xml:space="preserve">the ERF. Registration and crediting activities </w:t>
      </w:r>
      <w:r>
        <w:t>as well as a</w:t>
      </w:r>
      <w:r w:rsidRPr="008916B0">
        <w:t xml:space="preserve">uction and contract management </w:t>
      </w:r>
      <w:r>
        <w:t>represents a significant proportion of CER expenditure</w:t>
      </w:r>
      <w:r w:rsidRPr="008916B0">
        <w:t xml:space="preserve"> (CER</w:t>
      </w:r>
      <w:r>
        <w:t xml:space="preserve"> 2017d, pers comm</w:t>
      </w:r>
      <w:r w:rsidRPr="008916B0">
        <w:t xml:space="preserve">). The distribution of these costs could change over time as the ERF matures and design changes are made. </w:t>
      </w:r>
    </w:p>
    <w:p w14:paraId="72ED7CDF" w14:textId="0A35BDCB" w:rsidR="00E01BF1" w:rsidRPr="008916B0" w:rsidRDefault="00E01BF1" w:rsidP="00E01BF1">
      <w:r>
        <w:t>The Department of the Environment and Energy perform important functions for the ERF including policy development, method development</w:t>
      </w:r>
      <w:r w:rsidR="00CD124E">
        <w:t xml:space="preserve"> and</w:t>
      </w:r>
      <w:r>
        <w:t xml:space="preserve"> review a</w:t>
      </w:r>
      <w:r w:rsidR="00CD124E">
        <w:t xml:space="preserve">s well as </w:t>
      </w:r>
      <w:r>
        <w:t xml:space="preserve">support for the Emissions Reduction Assurance Committee. The CER also participates in many of these policy development tasks. These functions are funded with departmental funding. On balance the Authority decided not to include these costs in its assessment of the administration of the ERF because method development and ERAC support are essentially policy related tasks rather than administration. The Authority notes that neither the CER nor the Department received additional funds </w:t>
      </w:r>
      <w:r w:rsidR="00CD124E">
        <w:t>for</w:t>
      </w:r>
      <w:r>
        <w:t xml:space="preserve"> the ERF beyond the amount made available to them to administer previous programs (the carbon pricing mechanism and the CFI). </w:t>
      </w:r>
      <w:r w:rsidRPr="008916B0">
        <w:t>Like other Commonwealth agencies, the Department and the CER are subject to the efficiency dividend that reduces agency budgets each year.</w:t>
      </w:r>
    </w:p>
    <w:p w14:paraId="1BDC6BAD" w14:textId="717D23A5" w:rsidR="00E01BF1" w:rsidRPr="005206CA" w:rsidRDefault="00E01BF1" w:rsidP="003407A4">
      <w:pPr>
        <w:pStyle w:val="Heading3"/>
      </w:pPr>
      <w:r w:rsidRPr="005206CA">
        <w:t>Summary of costs of managing the Emissions Reduction Fund</w:t>
      </w:r>
    </w:p>
    <w:p w14:paraId="721B9EA4" w14:textId="77777777" w:rsidR="00E01BF1" w:rsidRDefault="00E01BF1" w:rsidP="00E01BF1">
      <w:r w:rsidRPr="005206CA">
        <w:t xml:space="preserve">The average costs over the initial forward estimates period for the scheme (four years from 2014-15 to 2017-18) </w:t>
      </w:r>
      <w:r>
        <w:t>are in Table 9.</w:t>
      </w:r>
    </w:p>
    <w:p w14:paraId="28A1EEC5" w14:textId="77777777" w:rsidR="00E01BF1" w:rsidRPr="005206CA" w:rsidRDefault="00E01BF1" w:rsidP="00E01BF1">
      <w:pPr>
        <w:pStyle w:val="CCAFigure"/>
      </w:pPr>
      <w:bookmarkStart w:id="1602" w:name="_Toc500490911"/>
      <w:bookmarkStart w:id="1603" w:name="_Toc500513627"/>
      <w:bookmarkStart w:id="1604" w:name="_Toc500516165"/>
      <w:r w:rsidRPr="005206CA">
        <w:t xml:space="preserve">Table </w:t>
      </w:r>
      <w:r w:rsidR="00FA2002">
        <w:fldChar w:fldCharType="begin"/>
      </w:r>
      <w:r w:rsidR="00FA2002">
        <w:instrText xml:space="preserve"> SEQ Table \* ARABIC </w:instrText>
      </w:r>
      <w:r w:rsidR="00FA2002">
        <w:fldChar w:fldCharType="separate"/>
      </w:r>
      <w:r w:rsidR="00FA2002">
        <w:rPr>
          <w:noProof/>
        </w:rPr>
        <w:t>9</w:t>
      </w:r>
      <w:r w:rsidR="00FA2002">
        <w:rPr>
          <w:noProof/>
        </w:rPr>
        <w:fldChar w:fldCharType="end"/>
      </w:r>
      <w:r w:rsidRPr="005206CA">
        <w:t>: ERF (nominal) costs to the Government over the period 2014-15 to 2017-18</w:t>
      </w:r>
      <w:bookmarkEnd w:id="1602"/>
      <w:bookmarkEnd w:id="1603"/>
      <w:bookmarkEnd w:id="1604"/>
    </w:p>
    <w:tbl>
      <w:tblPr>
        <w:tblW w:w="0" w:type="auto"/>
        <w:tblLayout w:type="fixed"/>
        <w:tblLook w:val="06E0" w:firstRow="1" w:lastRow="1" w:firstColumn="1" w:lastColumn="0" w:noHBand="1" w:noVBand="1"/>
      </w:tblPr>
      <w:tblGrid>
        <w:gridCol w:w="5253"/>
        <w:gridCol w:w="421"/>
        <w:gridCol w:w="1050"/>
        <w:gridCol w:w="2100"/>
      </w:tblGrid>
      <w:tr w:rsidR="00E01BF1" w:rsidRPr="005206CA" w14:paraId="06B507BE" w14:textId="77777777" w:rsidTr="00880D6E">
        <w:trPr>
          <w:trHeight w:val="268"/>
        </w:trPr>
        <w:tc>
          <w:tcPr>
            <w:tcW w:w="5253" w:type="dxa"/>
            <w:shd w:val="clear" w:color="auto" w:fill="159DCE"/>
            <w:noWrap/>
            <w:hideMark/>
          </w:tcPr>
          <w:p w14:paraId="6751B256" w14:textId="77777777" w:rsidR="00E01BF1" w:rsidRPr="005206CA" w:rsidRDefault="00E01BF1" w:rsidP="00880D6E"/>
        </w:tc>
        <w:tc>
          <w:tcPr>
            <w:tcW w:w="1471" w:type="dxa"/>
            <w:gridSpan w:val="2"/>
            <w:shd w:val="clear" w:color="auto" w:fill="159DCE"/>
          </w:tcPr>
          <w:p w14:paraId="443384FA" w14:textId="77777777" w:rsidR="00E01BF1" w:rsidRPr="005206CA" w:rsidRDefault="00E01BF1" w:rsidP="00880D6E">
            <w:pPr>
              <w:spacing w:after="80" w:line="240" w:lineRule="auto"/>
              <w:rPr>
                <w:rFonts w:cs="Arial"/>
                <w:color w:val="FFFFFF" w:themeColor="background1"/>
                <w:sz w:val="16"/>
                <w:szCs w:val="16"/>
              </w:rPr>
            </w:pPr>
            <w:r w:rsidRPr="005206CA">
              <w:rPr>
                <w:rFonts w:cs="Arial"/>
                <w:color w:val="FFFFFF" w:themeColor="background1"/>
                <w:sz w:val="16"/>
                <w:szCs w:val="16"/>
              </w:rPr>
              <w:t>AVERAGE COST PER YEAR ($M)</w:t>
            </w:r>
          </w:p>
        </w:tc>
        <w:tc>
          <w:tcPr>
            <w:tcW w:w="2100" w:type="dxa"/>
            <w:shd w:val="clear" w:color="auto" w:fill="159DCE"/>
          </w:tcPr>
          <w:p w14:paraId="07814EB4" w14:textId="77777777" w:rsidR="00E01BF1" w:rsidRPr="005206CA" w:rsidRDefault="00E01BF1" w:rsidP="00880D6E">
            <w:pPr>
              <w:spacing w:after="80" w:line="240" w:lineRule="auto"/>
              <w:rPr>
                <w:rFonts w:cs="Arial"/>
                <w:color w:val="FFFFFF" w:themeColor="background1"/>
                <w:sz w:val="16"/>
                <w:szCs w:val="16"/>
              </w:rPr>
            </w:pPr>
            <w:r w:rsidRPr="005206CA">
              <w:rPr>
                <w:rFonts w:cs="Arial"/>
                <w:color w:val="FFFFFF" w:themeColor="background1"/>
                <w:sz w:val="16"/>
                <w:szCs w:val="16"/>
              </w:rPr>
              <w:t>MAXIMUM AVERAGE COST PER ACCU DELIVERED ($)</w:t>
            </w:r>
          </w:p>
        </w:tc>
      </w:tr>
      <w:tr w:rsidR="00E01BF1" w:rsidRPr="005206CA" w14:paraId="37D9A6ED" w14:textId="77777777" w:rsidTr="00880D6E">
        <w:trPr>
          <w:trHeight w:val="268"/>
        </w:trPr>
        <w:tc>
          <w:tcPr>
            <w:tcW w:w="5674" w:type="dxa"/>
            <w:gridSpan w:val="2"/>
            <w:tcBorders>
              <w:top w:val="nil"/>
              <w:left w:val="nil"/>
              <w:bottom w:val="dotted" w:sz="4" w:space="0" w:color="auto"/>
              <w:right w:val="nil"/>
            </w:tcBorders>
            <w:noWrap/>
            <w:hideMark/>
          </w:tcPr>
          <w:p w14:paraId="69F6A7E9" w14:textId="77777777" w:rsidR="00E01BF1" w:rsidRPr="00A4376E" w:rsidRDefault="00E01BF1" w:rsidP="00880D6E">
            <w:pPr>
              <w:rPr>
                <w:rFonts w:cs="Arial"/>
                <w:color w:val="414141"/>
                <w:sz w:val="16"/>
                <w:szCs w:val="16"/>
              </w:rPr>
            </w:pPr>
            <w:r w:rsidRPr="00A4376E">
              <w:rPr>
                <w:rFonts w:cs="Arial"/>
                <w:sz w:val="16"/>
                <w:szCs w:val="16"/>
              </w:rPr>
              <w:t>Costs of purchasing abatement</w:t>
            </w:r>
          </w:p>
        </w:tc>
        <w:tc>
          <w:tcPr>
            <w:tcW w:w="1050" w:type="dxa"/>
            <w:tcBorders>
              <w:top w:val="nil"/>
              <w:left w:val="nil"/>
              <w:bottom w:val="dotted" w:sz="4" w:space="0" w:color="auto"/>
              <w:right w:val="nil"/>
            </w:tcBorders>
          </w:tcPr>
          <w:p w14:paraId="36949613" w14:textId="77777777" w:rsidR="00E01BF1" w:rsidRPr="00A4376E" w:rsidRDefault="00E01BF1" w:rsidP="00880D6E">
            <w:pPr>
              <w:jc w:val="right"/>
              <w:rPr>
                <w:rFonts w:cs="Arial"/>
                <w:color w:val="000000"/>
                <w:sz w:val="16"/>
                <w:szCs w:val="16"/>
              </w:rPr>
            </w:pPr>
            <w:r w:rsidRPr="00A4376E">
              <w:rPr>
                <w:rFonts w:cs="Arial"/>
                <w:color w:val="000000"/>
                <w:sz w:val="16"/>
                <w:szCs w:val="16"/>
              </w:rPr>
              <w:t>138</w:t>
            </w:r>
          </w:p>
        </w:tc>
        <w:tc>
          <w:tcPr>
            <w:tcW w:w="2100" w:type="dxa"/>
            <w:tcBorders>
              <w:top w:val="nil"/>
              <w:left w:val="nil"/>
              <w:bottom w:val="dotted" w:sz="4" w:space="0" w:color="auto"/>
              <w:right w:val="nil"/>
            </w:tcBorders>
          </w:tcPr>
          <w:p w14:paraId="7D4E171D" w14:textId="77777777" w:rsidR="00E01BF1" w:rsidRPr="00A4376E" w:rsidRDefault="00E01BF1" w:rsidP="00880D6E">
            <w:pPr>
              <w:jc w:val="right"/>
              <w:rPr>
                <w:rFonts w:cs="Arial"/>
                <w:color w:val="000000"/>
                <w:sz w:val="16"/>
                <w:szCs w:val="16"/>
              </w:rPr>
            </w:pPr>
            <w:r w:rsidRPr="00A4376E">
              <w:rPr>
                <w:rFonts w:cs="Arial"/>
                <w:color w:val="000000"/>
                <w:sz w:val="16"/>
                <w:szCs w:val="16"/>
              </w:rPr>
              <w:t>11.83</w:t>
            </w:r>
          </w:p>
        </w:tc>
      </w:tr>
      <w:tr w:rsidR="00E01BF1" w:rsidRPr="005206CA" w14:paraId="71113AE6" w14:textId="77777777" w:rsidTr="00880D6E">
        <w:trPr>
          <w:trHeight w:val="268"/>
        </w:trPr>
        <w:tc>
          <w:tcPr>
            <w:tcW w:w="5674" w:type="dxa"/>
            <w:gridSpan w:val="2"/>
            <w:tcBorders>
              <w:top w:val="dotted" w:sz="4" w:space="0" w:color="auto"/>
              <w:left w:val="nil"/>
              <w:bottom w:val="dotted" w:sz="4" w:space="0" w:color="auto"/>
              <w:right w:val="nil"/>
            </w:tcBorders>
            <w:noWrap/>
            <w:hideMark/>
          </w:tcPr>
          <w:p w14:paraId="33E5A173" w14:textId="77777777" w:rsidR="00E01BF1" w:rsidRPr="00A4376E" w:rsidRDefault="00E01BF1" w:rsidP="00880D6E">
            <w:pPr>
              <w:rPr>
                <w:rFonts w:cs="Arial"/>
                <w:sz w:val="16"/>
                <w:szCs w:val="16"/>
              </w:rPr>
            </w:pPr>
            <w:r w:rsidRPr="00A4376E">
              <w:rPr>
                <w:rFonts w:cs="Arial"/>
                <w:sz w:val="16"/>
                <w:szCs w:val="16"/>
              </w:rPr>
              <w:t>Costs of managing the scheme - CER</w:t>
            </w:r>
          </w:p>
        </w:tc>
        <w:tc>
          <w:tcPr>
            <w:tcW w:w="1050" w:type="dxa"/>
            <w:tcBorders>
              <w:top w:val="dotted" w:sz="4" w:space="0" w:color="auto"/>
              <w:left w:val="nil"/>
              <w:bottom w:val="dotted" w:sz="4" w:space="0" w:color="auto"/>
              <w:right w:val="nil"/>
            </w:tcBorders>
          </w:tcPr>
          <w:p w14:paraId="0B6F79F8" w14:textId="77777777" w:rsidR="00E01BF1" w:rsidRPr="00A4376E" w:rsidRDefault="00E01BF1" w:rsidP="00880D6E">
            <w:pPr>
              <w:jc w:val="right"/>
              <w:rPr>
                <w:rFonts w:cs="Arial"/>
                <w:color w:val="000000"/>
                <w:sz w:val="16"/>
                <w:szCs w:val="16"/>
              </w:rPr>
            </w:pPr>
            <w:r>
              <w:rPr>
                <w:rFonts w:cs="Arial"/>
                <w:color w:val="000000"/>
                <w:sz w:val="16"/>
                <w:szCs w:val="16"/>
              </w:rPr>
              <w:t>19</w:t>
            </w:r>
          </w:p>
        </w:tc>
        <w:tc>
          <w:tcPr>
            <w:tcW w:w="2100" w:type="dxa"/>
            <w:tcBorders>
              <w:top w:val="dotted" w:sz="4" w:space="0" w:color="auto"/>
              <w:left w:val="nil"/>
              <w:bottom w:val="dotted" w:sz="4" w:space="0" w:color="auto"/>
              <w:right w:val="nil"/>
            </w:tcBorders>
          </w:tcPr>
          <w:p w14:paraId="4EA6D39E" w14:textId="77777777" w:rsidR="00E01BF1" w:rsidRPr="00A4376E" w:rsidRDefault="00E01BF1" w:rsidP="00880D6E">
            <w:pPr>
              <w:jc w:val="right"/>
              <w:rPr>
                <w:rFonts w:cs="Arial"/>
                <w:color w:val="000000"/>
                <w:sz w:val="16"/>
                <w:szCs w:val="16"/>
              </w:rPr>
            </w:pPr>
            <w:r w:rsidRPr="00A4376E">
              <w:rPr>
                <w:rFonts w:cs="Arial"/>
                <w:color w:val="000000"/>
                <w:sz w:val="16"/>
                <w:szCs w:val="16"/>
              </w:rPr>
              <w:t>1.</w:t>
            </w:r>
            <w:r>
              <w:rPr>
                <w:rFonts w:cs="Arial"/>
                <w:color w:val="000000"/>
                <w:sz w:val="16"/>
                <w:szCs w:val="16"/>
              </w:rPr>
              <w:t>66</w:t>
            </w:r>
          </w:p>
        </w:tc>
      </w:tr>
      <w:tr w:rsidR="00E01BF1" w:rsidRPr="005206CA" w14:paraId="458A30C0" w14:textId="77777777" w:rsidTr="00880D6E">
        <w:trPr>
          <w:trHeight w:val="268"/>
        </w:trPr>
        <w:tc>
          <w:tcPr>
            <w:tcW w:w="5674" w:type="dxa"/>
            <w:gridSpan w:val="2"/>
            <w:tcBorders>
              <w:top w:val="dotted" w:sz="4" w:space="0" w:color="auto"/>
              <w:left w:val="nil"/>
              <w:bottom w:val="nil"/>
              <w:right w:val="nil"/>
            </w:tcBorders>
            <w:noWrap/>
            <w:hideMark/>
          </w:tcPr>
          <w:p w14:paraId="3D0D75FA" w14:textId="77777777" w:rsidR="00E01BF1" w:rsidRPr="00A4376E" w:rsidRDefault="00E01BF1" w:rsidP="00880D6E">
            <w:pPr>
              <w:rPr>
                <w:rFonts w:cs="Arial"/>
                <w:sz w:val="16"/>
                <w:szCs w:val="16"/>
              </w:rPr>
            </w:pPr>
            <w:r w:rsidRPr="00A4376E">
              <w:rPr>
                <w:rFonts w:cs="Arial"/>
                <w:sz w:val="16"/>
                <w:szCs w:val="16"/>
              </w:rPr>
              <w:t>Total cost</w:t>
            </w:r>
          </w:p>
        </w:tc>
        <w:tc>
          <w:tcPr>
            <w:tcW w:w="1050" w:type="dxa"/>
            <w:tcBorders>
              <w:top w:val="dotted" w:sz="4" w:space="0" w:color="auto"/>
              <w:left w:val="nil"/>
              <w:bottom w:val="nil"/>
              <w:right w:val="nil"/>
            </w:tcBorders>
          </w:tcPr>
          <w:p w14:paraId="4873CB5D" w14:textId="77777777" w:rsidR="00E01BF1" w:rsidRPr="00A4376E" w:rsidRDefault="00E01BF1" w:rsidP="00880D6E">
            <w:pPr>
              <w:jc w:val="right"/>
              <w:rPr>
                <w:rFonts w:cs="Arial"/>
                <w:color w:val="000000"/>
                <w:sz w:val="16"/>
                <w:szCs w:val="16"/>
              </w:rPr>
            </w:pPr>
            <w:r w:rsidRPr="00A4376E">
              <w:rPr>
                <w:rFonts w:cs="Arial"/>
                <w:color w:val="000000"/>
                <w:sz w:val="16"/>
                <w:szCs w:val="16"/>
              </w:rPr>
              <w:t>1</w:t>
            </w:r>
            <w:r>
              <w:rPr>
                <w:rFonts w:cs="Arial"/>
                <w:color w:val="000000"/>
                <w:sz w:val="16"/>
                <w:szCs w:val="16"/>
              </w:rPr>
              <w:t>58</w:t>
            </w:r>
          </w:p>
        </w:tc>
        <w:tc>
          <w:tcPr>
            <w:tcW w:w="2100" w:type="dxa"/>
            <w:tcBorders>
              <w:top w:val="dotted" w:sz="4" w:space="0" w:color="auto"/>
              <w:left w:val="nil"/>
              <w:bottom w:val="nil"/>
              <w:right w:val="nil"/>
            </w:tcBorders>
          </w:tcPr>
          <w:p w14:paraId="1D4D9CEF" w14:textId="77777777" w:rsidR="00E01BF1" w:rsidRPr="00A4376E" w:rsidRDefault="00E01BF1" w:rsidP="00880D6E">
            <w:pPr>
              <w:jc w:val="right"/>
              <w:rPr>
                <w:rFonts w:cs="Arial"/>
                <w:color w:val="000000"/>
                <w:sz w:val="16"/>
                <w:szCs w:val="16"/>
              </w:rPr>
            </w:pPr>
            <w:r>
              <w:rPr>
                <w:rFonts w:cs="Arial"/>
                <w:color w:val="000000"/>
                <w:sz w:val="16"/>
                <w:szCs w:val="16"/>
              </w:rPr>
              <w:t>13.50</w:t>
            </w:r>
          </w:p>
        </w:tc>
      </w:tr>
    </w:tbl>
    <w:p w14:paraId="617D0ADE" w14:textId="77777777" w:rsidR="00E01BF1" w:rsidRPr="005206CA" w:rsidRDefault="00E01BF1" w:rsidP="00E01BF1">
      <w:pPr>
        <w:pStyle w:val="Footnote"/>
        <w:spacing w:after="60"/>
      </w:pPr>
      <w:r w:rsidRPr="005206CA">
        <w:rPr>
          <w:b/>
        </w:rPr>
        <w:t>Note</w:t>
      </w:r>
      <w:r w:rsidRPr="005206CA">
        <w:t>: Costs are based on scheme costs from 2014-15 to 2017-18 and are sourced from CER budget estimates, and CER projected delivery of abatement. Figures in this table are reported in nominal terms to be consistent with published information</w:t>
      </w:r>
      <w:r>
        <w:t>, such as the average price of ACCUs</w:t>
      </w:r>
      <w:r w:rsidRPr="005206CA">
        <w:t xml:space="preserve">. </w:t>
      </w:r>
      <w:r>
        <w:t xml:space="preserve">Policy related functions are excluded. Totals may not add up due to rounding. </w:t>
      </w:r>
    </w:p>
    <w:p w14:paraId="1516CDAE" w14:textId="77777777" w:rsidR="00E01BF1" w:rsidRPr="00740D2F" w:rsidRDefault="00E01BF1" w:rsidP="00E01BF1">
      <w:pPr>
        <w:pStyle w:val="Footnote"/>
        <w:spacing w:after="60"/>
      </w:pPr>
      <w:r w:rsidRPr="00740D2F">
        <w:rPr>
          <w:b/>
        </w:rPr>
        <w:t>Source:</w:t>
      </w:r>
      <w:r w:rsidRPr="00740D2F">
        <w:t xml:space="preserve"> </w:t>
      </w:r>
      <w:r w:rsidRPr="005206CA">
        <w:t>Climate Change Authority ba</w:t>
      </w:r>
      <w:r>
        <w:t>sed on data provided by the CER.</w:t>
      </w:r>
    </w:p>
    <w:p w14:paraId="26DD3653" w14:textId="77777777" w:rsidR="00E01BF1" w:rsidRDefault="00E01BF1" w:rsidP="00E01BF1">
      <w:pPr>
        <w:pStyle w:val="Footnote"/>
        <w:spacing w:after="60"/>
      </w:pPr>
    </w:p>
    <w:p w14:paraId="0F79C4C7" w14:textId="7E9E3AB7" w:rsidR="00E01BF1" w:rsidRPr="005206CA" w:rsidRDefault="00E01BF1" w:rsidP="00E01BF1">
      <w:r>
        <w:t xml:space="preserve">ERF administration costs (Table 9) </w:t>
      </w:r>
      <w:r w:rsidRPr="005206CA">
        <w:t>are maximum costs as costs incurred in the early years of the scheme incorporate all the costs of establishing processes to register and credit projects and establish</w:t>
      </w:r>
      <w:r>
        <w:t>ing</w:t>
      </w:r>
      <w:r w:rsidRPr="005206CA">
        <w:t xml:space="preserve"> contracts for ACCUs that will continue to deliver beyond the first four years. The CER expect</w:t>
      </w:r>
      <w:r w:rsidR="005D7CF0">
        <w:t>s</w:t>
      </w:r>
      <w:r w:rsidRPr="005206CA">
        <w:t xml:space="preserve"> to achieve effic</w:t>
      </w:r>
      <w:r>
        <w:t>iencies over the life of the ERF</w:t>
      </w:r>
      <w:r w:rsidRPr="005206CA">
        <w:t>, which could lower costs. To deliver the full amount of abatement contracted</w:t>
      </w:r>
      <w:r w:rsidR="00CD124E">
        <w:t>,</w:t>
      </w:r>
      <w:r w:rsidRPr="005206CA">
        <w:t xml:space="preserve"> the ERF will need continued funding for the length of carbon abatement contracts, and longer to ensure the permanence of carbon stored. </w:t>
      </w:r>
    </w:p>
    <w:p w14:paraId="4D7EC9BA" w14:textId="77777777" w:rsidR="00E01BF1" w:rsidRPr="005206CA" w:rsidRDefault="00E01BF1" w:rsidP="00E01BF1">
      <w:r>
        <w:t>T</w:t>
      </w:r>
      <w:r w:rsidRPr="005206CA">
        <w:t>he ERF is a unique and complex policy, which makes it difficult to benchmark or compare its administration costs with other government programs</w:t>
      </w:r>
      <w:r>
        <w:t>. However, t</w:t>
      </w:r>
      <w:r w:rsidRPr="005206CA">
        <w:t>he Authority found that the ERF</w:t>
      </w:r>
      <w:r>
        <w:t>’s</w:t>
      </w:r>
      <w:r w:rsidRPr="005206CA">
        <w:t xml:space="preserve"> administrative costs </w:t>
      </w:r>
      <w:r>
        <w:t xml:space="preserve">appear to compare </w:t>
      </w:r>
      <w:r w:rsidRPr="005206CA">
        <w:t xml:space="preserve">well when benchmarked against other </w:t>
      </w:r>
      <w:r>
        <w:t xml:space="preserve">government </w:t>
      </w:r>
      <w:r w:rsidRPr="005206CA">
        <w:t>programs that also allocate public money, or take the form of legislative schemes that provide credits for activities that reduce emissions (for example state energy effic</w:t>
      </w:r>
      <w:r>
        <w:t>iency certificate schemes) (Table 10 and Appendix D)</w:t>
      </w:r>
      <w:r w:rsidRPr="005206CA">
        <w:t xml:space="preserve">. </w:t>
      </w:r>
    </w:p>
    <w:p w14:paraId="2CB9A8C9" w14:textId="77777777" w:rsidR="008B11B3" w:rsidRDefault="008B11B3">
      <w:pPr>
        <w:spacing w:after="0" w:line="240" w:lineRule="auto"/>
        <w:rPr>
          <w:rFonts w:eastAsiaTheme="minorHAnsi" w:cstheme="minorBidi"/>
          <w:caps/>
          <w:color w:val="159DCE"/>
        </w:rPr>
      </w:pPr>
      <w:bookmarkStart w:id="1605" w:name="_Toc500314426"/>
      <w:r>
        <w:br w:type="page"/>
      </w:r>
    </w:p>
    <w:p w14:paraId="140DD0B2" w14:textId="135B32D4" w:rsidR="00E01BF1" w:rsidRPr="005206CA" w:rsidRDefault="00E01BF1" w:rsidP="00E01BF1">
      <w:pPr>
        <w:pStyle w:val="CCAFigure"/>
      </w:pPr>
      <w:bookmarkStart w:id="1606" w:name="_Toc500490912"/>
      <w:bookmarkStart w:id="1607" w:name="_Toc500513628"/>
      <w:bookmarkStart w:id="1608" w:name="_Toc500516166"/>
      <w:r w:rsidRPr="005206CA">
        <w:t xml:space="preserve">Table </w:t>
      </w:r>
      <w:r w:rsidR="00FA2002">
        <w:fldChar w:fldCharType="begin"/>
      </w:r>
      <w:r w:rsidR="00FA2002">
        <w:instrText xml:space="preserve"> SEQ Table \* ARABIC </w:instrText>
      </w:r>
      <w:r w:rsidR="00FA2002">
        <w:fldChar w:fldCharType="separate"/>
      </w:r>
      <w:r w:rsidR="00FA2002">
        <w:rPr>
          <w:noProof/>
        </w:rPr>
        <w:t>10</w:t>
      </w:r>
      <w:r w:rsidR="00FA2002">
        <w:rPr>
          <w:noProof/>
        </w:rPr>
        <w:fldChar w:fldCharType="end"/>
      </w:r>
      <w:r w:rsidRPr="005206CA">
        <w:t>: Comparison of the cost of the ERF with other government programs</w:t>
      </w:r>
      <w:bookmarkEnd w:id="1605"/>
      <w:bookmarkEnd w:id="1606"/>
      <w:bookmarkEnd w:id="1607"/>
      <w:bookmarkEnd w:id="1608"/>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3067"/>
        <w:gridCol w:w="3067"/>
        <w:gridCol w:w="3068"/>
      </w:tblGrid>
      <w:tr w:rsidR="00E01BF1" w:rsidRPr="005206CA" w14:paraId="32192767" w14:textId="77777777" w:rsidTr="00880D6E">
        <w:trPr>
          <w:cnfStyle w:val="100000000000" w:firstRow="1" w:lastRow="0" w:firstColumn="0" w:lastColumn="0" w:oddVBand="0" w:evenVBand="0" w:oddHBand="0" w:evenHBand="0" w:firstRowFirstColumn="0" w:firstRowLastColumn="0" w:lastRowFirstColumn="0" w:lastRowLastColumn="0"/>
        </w:trPr>
        <w:tc>
          <w:tcPr>
            <w:tcW w:w="3067" w:type="dxa"/>
            <w:tcBorders>
              <w:top w:val="nil"/>
              <w:left w:val="nil"/>
              <w:bottom w:val="dotted" w:sz="4" w:space="0" w:color="auto"/>
              <w:right w:val="nil"/>
            </w:tcBorders>
            <w:shd w:val="clear" w:color="auto" w:fill="159DCE"/>
          </w:tcPr>
          <w:p w14:paraId="710BF442" w14:textId="77777777" w:rsidR="00E01BF1" w:rsidRPr="005206CA" w:rsidRDefault="00E01BF1" w:rsidP="00880D6E">
            <w:pPr>
              <w:spacing w:after="80" w:line="240" w:lineRule="auto"/>
              <w:rPr>
                <w:rFonts w:cs="Arial"/>
                <w:color w:val="FFFFFF" w:themeColor="background1"/>
                <w:sz w:val="16"/>
                <w:szCs w:val="16"/>
              </w:rPr>
            </w:pPr>
          </w:p>
        </w:tc>
        <w:tc>
          <w:tcPr>
            <w:tcW w:w="3067" w:type="dxa"/>
            <w:tcBorders>
              <w:top w:val="nil"/>
              <w:left w:val="nil"/>
              <w:bottom w:val="dotted" w:sz="4" w:space="0" w:color="auto"/>
              <w:right w:val="nil"/>
            </w:tcBorders>
            <w:shd w:val="clear" w:color="auto" w:fill="159DCE"/>
            <w:hideMark/>
          </w:tcPr>
          <w:p w14:paraId="72A67FA2" w14:textId="77777777" w:rsidR="00E01BF1" w:rsidRPr="005206CA" w:rsidRDefault="00E01BF1" w:rsidP="00880D6E">
            <w:pPr>
              <w:spacing w:after="80" w:line="240" w:lineRule="auto"/>
              <w:rPr>
                <w:rFonts w:cs="Arial"/>
                <w:b/>
                <w:color w:val="FFFFFF" w:themeColor="background1"/>
                <w:sz w:val="16"/>
                <w:szCs w:val="16"/>
              </w:rPr>
            </w:pPr>
            <w:r w:rsidRPr="005206CA">
              <w:rPr>
                <w:rFonts w:cs="Arial"/>
                <w:b/>
                <w:color w:val="FFFFFF" w:themeColor="background1"/>
                <w:sz w:val="16"/>
                <w:szCs w:val="16"/>
              </w:rPr>
              <w:t>OTHER GOVERNMENT PROGRAMS</w:t>
            </w:r>
          </w:p>
        </w:tc>
        <w:tc>
          <w:tcPr>
            <w:tcW w:w="3068" w:type="dxa"/>
            <w:tcBorders>
              <w:top w:val="nil"/>
              <w:left w:val="nil"/>
              <w:bottom w:val="dotted" w:sz="4" w:space="0" w:color="auto"/>
              <w:right w:val="nil"/>
            </w:tcBorders>
            <w:shd w:val="clear" w:color="auto" w:fill="159DCE"/>
            <w:hideMark/>
          </w:tcPr>
          <w:p w14:paraId="787B6D33" w14:textId="77777777" w:rsidR="00E01BF1" w:rsidRPr="005206CA" w:rsidRDefault="00E01BF1" w:rsidP="00880D6E">
            <w:pPr>
              <w:spacing w:after="80" w:line="240" w:lineRule="auto"/>
              <w:rPr>
                <w:rFonts w:cs="Arial"/>
                <w:b/>
                <w:color w:val="FFFFFF" w:themeColor="background1"/>
                <w:sz w:val="16"/>
                <w:szCs w:val="16"/>
              </w:rPr>
            </w:pPr>
            <w:r w:rsidRPr="005206CA">
              <w:rPr>
                <w:rFonts w:cs="Arial"/>
                <w:b/>
                <w:color w:val="FFFFFF" w:themeColor="background1"/>
                <w:sz w:val="16"/>
                <w:szCs w:val="16"/>
              </w:rPr>
              <w:t>COST OF THE ERF</w:t>
            </w:r>
          </w:p>
        </w:tc>
      </w:tr>
      <w:tr w:rsidR="00E01BF1" w:rsidRPr="005206CA" w14:paraId="17B78D9C" w14:textId="77777777" w:rsidTr="00880D6E">
        <w:trPr>
          <w:cnfStyle w:val="000000100000" w:firstRow="0" w:lastRow="0" w:firstColumn="0" w:lastColumn="0" w:oddVBand="0" w:evenVBand="0" w:oddHBand="1" w:evenHBand="0" w:firstRowFirstColumn="0" w:firstRowLastColumn="0" w:lastRowFirstColumn="0" w:lastRowLastColumn="0"/>
        </w:trPr>
        <w:tc>
          <w:tcPr>
            <w:tcW w:w="3067" w:type="dxa"/>
            <w:tcBorders>
              <w:top w:val="dotted" w:sz="4" w:space="0" w:color="auto"/>
              <w:left w:val="nil"/>
              <w:bottom w:val="dotted" w:sz="4" w:space="0" w:color="auto"/>
              <w:right w:val="nil"/>
            </w:tcBorders>
            <w:hideMark/>
          </w:tcPr>
          <w:p w14:paraId="0A096739" w14:textId="77777777" w:rsidR="00E01BF1" w:rsidRPr="005206CA" w:rsidRDefault="00E01BF1" w:rsidP="00880D6E">
            <w:pPr>
              <w:rPr>
                <w:rFonts w:cs="Arial"/>
                <w:color w:val="414141"/>
                <w:sz w:val="16"/>
                <w:szCs w:val="16"/>
              </w:rPr>
            </w:pPr>
            <w:r w:rsidRPr="005206CA">
              <w:rPr>
                <w:rFonts w:cs="Arial"/>
                <w:sz w:val="16"/>
                <w:szCs w:val="16"/>
              </w:rPr>
              <w:t>Australia Council grant programs</w:t>
            </w:r>
          </w:p>
        </w:tc>
        <w:tc>
          <w:tcPr>
            <w:tcW w:w="3067" w:type="dxa"/>
            <w:tcBorders>
              <w:top w:val="dotted" w:sz="4" w:space="0" w:color="auto"/>
              <w:left w:val="nil"/>
              <w:bottom w:val="dotted" w:sz="4" w:space="0" w:color="auto"/>
              <w:right w:val="nil"/>
            </w:tcBorders>
            <w:hideMark/>
          </w:tcPr>
          <w:p w14:paraId="25C9B027" w14:textId="77777777" w:rsidR="00E01BF1" w:rsidRPr="005206CA" w:rsidRDefault="00E01BF1" w:rsidP="00880D6E">
            <w:pPr>
              <w:rPr>
                <w:rFonts w:cs="Arial"/>
                <w:sz w:val="16"/>
                <w:szCs w:val="16"/>
              </w:rPr>
            </w:pPr>
            <w:r w:rsidRPr="005206CA">
              <w:rPr>
                <w:rFonts w:cs="Arial"/>
                <w:sz w:val="16"/>
                <w:szCs w:val="16"/>
              </w:rPr>
              <w:t>$0.01-$0.51 per dollar of funding distributed</w:t>
            </w:r>
          </w:p>
        </w:tc>
        <w:tc>
          <w:tcPr>
            <w:tcW w:w="3068" w:type="dxa"/>
            <w:tcBorders>
              <w:top w:val="dotted" w:sz="4" w:space="0" w:color="auto"/>
              <w:left w:val="nil"/>
              <w:bottom w:val="dotted" w:sz="4" w:space="0" w:color="auto"/>
              <w:right w:val="nil"/>
            </w:tcBorders>
            <w:hideMark/>
          </w:tcPr>
          <w:p w14:paraId="457795B8" w14:textId="77777777" w:rsidR="00E01BF1" w:rsidRPr="005206CA" w:rsidRDefault="00E01BF1" w:rsidP="00880D6E">
            <w:pPr>
              <w:rPr>
                <w:rFonts w:cs="Arial"/>
                <w:sz w:val="16"/>
                <w:szCs w:val="16"/>
              </w:rPr>
            </w:pPr>
            <w:r w:rsidRPr="005206CA">
              <w:rPr>
                <w:rFonts w:cs="Arial"/>
                <w:sz w:val="16"/>
                <w:szCs w:val="16"/>
              </w:rPr>
              <w:t>$0.</w:t>
            </w:r>
            <w:r>
              <w:rPr>
                <w:rFonts w:cs="Arial"/>
                <w:sz w:val="16"/>
                <w:szCs w:val="16"/>
              </w:rPr>
              <w:t>14</w:t>
            </w:r>
            <w:r w:rsidRPr="005206CA">
              <w:rPr>
                <w:rFonts w:cs="Arial"/>
                <w:sz w:val="16"/>
                <w:szCs w:val="16"/>
              </w:rPr>
              <w:t xml:space="preserve"> per dollar dispersed</w:t>
            </w:r>
            <w:r>
              <w:rPr>
                <w:rFonts w:cs="Arial"/>
                <w:sz w:val="16"/>
                <w:szCs w:val="16"/>
              </w:rPr>
              <w:t xml:space="preserve"> between </w:t>
            </w:r>
            <w:r w:rsidRPr="005206CA">
              <w:rPr>
                <w:rFonts w:cs="Arial"/>
                <w:sz w:val="16"/>
                <w:szCs w:val="16"/>
              </w:rPr>
              <w:t>2014-15 and 2017-18</w:t>
            </w:r>
          </w:p>
        </w:tc>
      </w:tr>
      <w:tr w:rsidR="00E01BF1" w:rsidRPr="005206CA" w14:paraId="45EF8C33" w14:textId="77777777" w:rsidTr="00880D6E">
        <w:trPr>
          <w:cnfStyle w:val="000000010000" w:firstRow="0" w:lastRow="0" w:firstColumn="0" w:lastColumn="0" w:oddVBand="0" w:evenVBand="0" w:oddHBand="0" w:evenHBand="1" w:firstRowFirstColumn="0" w:firstRowLastColumn="0" w:lastRowFirstColumn="0" w:lastRowLastColumn="0"/>
        </w:trPr>
        <w:tc>
          <w:tcPr>
            <w:tcW w:w="3067" w:type="dxa"/>
            <w:tcBorders>
              <w:top w:val="dotted" w:sz="4" w:space="0" w:color="auto"/>
              <w:left w:val="nil"/>
              <w:bottom w:val="dotted" w:sz="4" w:space="0" w:color="auto"/>
              <w:right w:val="nil"/>
            </w:tcBorders>
            <w:hideMark/>
          </w:tcPr>
          <w:p w14:paraId="77C0645F" w14:textId="77777777" w:rsidR="00E01BF1" w:rsidRPr="005206CA" w:rsidRDefault="00E01BF1" w:rsidP="00880D6E">
            <w:pPr>
              <w:rPr>
                <w:rFonts w:cs="Arial"/>
                <w:sz w:val="16"/>
                <w:szCs w:val="16"/>
              </w:rPr>
            </w:pPr>
            <w:r w:rsidRPr="005206CA">
              <w:rPr>
                <w:rFonts w:cs="Arial"/>
                <w:sz w:val="16"/>
                <w:szCs w:val="16"/>
              </w:rPr>
              <w:t xml:space="preserve">State energy efficiency certificate schemes </w:t>
            </w:r>
          </w:p>
        </w:tc>
        <w:tc>
          <w:tcPr>
            <w:tcW w:w="3067" w:type="dxa"/>
            <w:tcBorders>
              <w:top w:val="dotted" w:sz="4" w:space="0" w:color="auto"/>
              <w:left w:val="nil"/>
              <w:bottom w:val="dotted" w:sz="4" w:space="0" w:color="auto"/>
              <w:right w:val="nil"/>
            </w:tcBorders>
            <w:hideMark/>
          </w:tcPr>
          <w:p w14:paraId="2AD79463" w14:textId="77777777" w:rsidR="00E01BF1" w:rsidRPr="005206CA" w:rsidRDefault="00E01BF1" w:rsidP="00880D6E">
            <w:pPr>
              <w:rPr>
                <w:rFonts w:cs="Arial"/>
                <w:sz w:val="16"/>
                <w:szCs w:val="16"/>
              </w:rPr>
            </w:pPr>
            <w:r w:rsidRPr="005206CA">
              <w:rPr>
                <w:rFonts w:cs="Arial"/>
                <w:sz w:val="16"/>
                <w:szCs w:val="16"/>
              </w:rPr>
              <w:t>$2.95 per tonne of CO</w:t>
            </w:r>
            <w:r w:rsidRPr="005206CA">
              <w:rPr>
                <w:rFonts w:cs="Arial"/>
                <w:sz w:val="16"/>
                <w:szCs w:val="16"/>
                <w:vertAlign w:val="subscript"/>
              </w:rPr>
              <w:t>2</w:t>
            </w:r>
            <w:r w:rsidRPr="005206CA">
              <w:rPr>
                <w:rFonts w:cs="Arial"/>
                <w:sz w:val="16"/>
                <w:szCs w:val="16"/>
              </w:rPr>
              <w:t xml:space="preserve">-e </w:t>
            </w:r>
          </w:p>
        </w:tc>
        <w:tc>
          <w:tcPr>
            <w:tcW w:w="3068" w:type="dxa"/>
            <w:tcBorders>
              <w:top w:val="dotted" w:sz="4" w:space="0" w:color="auto"/>
              <w:left w:val="nil"/>
              <w:bottom w:val="dotted" w:sz="4" w:space="0" w:color="auto"/>
              <w:right w:val="nil"/>
            </w:tcBorders>
            <w:hideMark/>
          </w:tcPr>
          <w:p w14:paraId="2B6467D1" w14:textId="77777777" w:rsidR="00E01BF1" w:rsidRPr="005206CA" w:rsidRDefault="00E01BF1" w:rsidP="00880D6E">
            <w:pPr>
              <w:rPr>
                <w:rFonts w:cs="Arial"/>
                <w:sz w:val="16"/>
                <w:szCs w:val="16"/>
              </w:rPr>
            </w:pPr>
            <w:r w:rsidRPr="005206CA">
              <w:rPr>
                <w:rFonts w:cs="Arial"/>
                <w:sz w:val="16"/>
                <w:szCs w:val="16"/>
              </w:rPr>
              <w:t>$</w:t>
            </w:r>
            <w:r>
              <w:rPr>
                <w:rFonts w:cs="Arial"/>
                <w:sz w:val="16"/>
                <w:szCs w:val="16"/>
              </w:rPr>
              <w:t>1.66</w:t>
            </w:r>
            <w:r w:rsidRPr="005206CA">
              <w:rPr>
                <w:rFonts w:cs="Arial"/>
                <w:sz w:val="16"/>
                <w:szCs w:val="16"/>
              </w:rPr>
              <w:t xml:space="preserve"> per ACCU delivered between 2014-15 and 2017-18</w:t>
            </w:r>
          </w:p>
        </w:tc>
      </w:tr>
    </w:tbl>
    <w:p w14:paraId="11E2611D" w14:textId="77777777" w:rsidR="00E01BF1" w:rsidRPr="005206CA" w:rsidRDefault="00E01BF1" w:rsidP="00E01BF1">
      <w:pPr>
        <w:pStyle w:val="Footnote"/>
        <w:spacing w:after="60"/>
      </w:pPr>
      <w:r w:rsidRPr="005206CA">
        <w:rPr>
          <w:b/>
        </w:rPr>
        <w:t>Note</w:t>
      </w:r>
      <w:r w:rsidRPr="005206CA">
        <w:t xml:space="preserve">: Costs are in nominal terms. More information about these comparator programs can be found at Appendix D. </w:t>
      </w:r>
    </w:p>
    <w:p w14:paraId="34B44E2F" w14:textId="77777777" w:rsidR="00E01BF1" w:rsidRPr="005206CA" w:rsidRDefault="00E01BF1" w:rsidP="00E01BF1">
      <w:pPr>
        <w:pStyle w:val="Footnote"/>
        <w:rPr>
          <w:b/>
          <w:caps/>
          <w:color w:val="159DCE"/>
        </w:rPr>
      </w:pPr>
      <w:r w:rsidRPr="005206CA">
        <w:rPr>
          <w:b/>
        </w:rPr>
        <w:t>Source</w:t>
      </w:r>
      <w:r w:rsidRPr="005206CA">
        <w:t>: Climate Change Authority</w:t>
      </w:r>
      <w:r>
        <w:t>.</w:t>
      </w:r>
    </w:p>
    <w:p w14:paraId="6BC79EA6" w14:textId="027BC6F3" w:rsidR="00E01BF1" w:rsidRDefault="00E01BF1" w:rsidP="00E01BF1">
      <w:r>
        <w:t>The Authority sought to compare the costs associated with the ERF with other similar programs overseas such as the California Compliance Offsets Program. The Authority notes that Californian tradable emissions units (which are indicative of offset costs) traded for between about A$17.50</w:t>
      </w:r>
      <w:r w:rsidR="005D7CF0">
        <w:t xml:space="preserve"> to </w:t>
      </w:r>
      <w:r w:rsidR="002C7ED4">
        <w:t>A$</w:t>
      </w:r>
      <w:r>
        <w:t>20 per tonne of CO</w:t>
      </w:r>
      <w:r w:rsidRPr="003622AF">
        <w:rPr>
          <w:vertAlign w:val="subscript"/>
        </w:rPr>
        <w:t>2</w:t>
      </w:r>
      <w:r>
        <w:t xml:space="preserve">-e in California in 2017 (InterContinental Exchange 2017). </w:t>
      </w:r>
      <w:r w:rsidRPr="00F43818">
        <w:t xml:space="preserve">Korean offset credits have traded </w:t>
      </w:r>
      <w:r w:rsidR="002C7ED4">
        <w:t xml:space="preserve">for </w:t>
      </w:r>
      <w:r w:rsidRPr="00F43818">
        <w:t xml:space="preserve">between A$24.70 to </w:t>
      </w:r>
      <w:r w:rsidR="002C7ED4">
        <w:t>A</w:t>
      </w:r>
      <w:r w:rsidRPr="00F43818">
        <w:t>$34</w:t>
      </w:r>
      <w:r>
        <w:t xml:space="preserve"> per tonne of CO</w:t>
      </w:r>
      <w:r w:rsidRPr="003622AF">
        <w:rPr>
          <w:vertAlign w:val="subscript"/>
        </w:rPr>
        <w:t>2</w:t>
      </w:r>
      <w:r>
        <w:noBreakHyphen/>
        <w:t>e</w:t>
      </w:r>
      <w:r w:rsidRPr="00F43818">
        <w:t xml:space="preserve"> over the past 6 months</w:t>
      </w:r>
      <w:r>
        <w:t xml:space="preserve"> (KRX 2017)</w:t>
      </w:r>
      <w:r w:rsidRPr="00F43818">
        <w:t xml:space="preserve">. </w:t>
      </w:r>
      <w:r>
        <w:t>This is considerably higher than the average auction price for ACCUs at $11.83 per tonne of CO</w:t>
      </w:r>
      <w:r w:rsidRPr="003622AF">
        <w:rPr>
          <w:vertAlign w:val="subscript"/>
        </w:rPr>
        <w:t>2</w:t>
      </w:r>
      <w:r>
        <w:t>-e, and even if the costs of administration are included.</w:t>
      </w:r>
    </w:p>
    <w:p w14:paraId="641E2B9B" w14:textId="44F224DA" w:rsidR="00E01BF1" w:rsidRPr="00B92D9D" w:rsidRDefault="00E01BF1" w:rsidP="003407A4">
      <w:pPr>
        <w:pStyle w:val="Heading3"/>
      </w:pPr>
      <w:r w:rsidRPr="00B92D9D">
        <w:t>Ongoing benefits from current expenditure</w:t>
      </w:r>
    </w:p>
    <w:p w14:paraId="747BC953" w14:textId="77777777" w:rsidR="00E01BF1" w:rsidRDefault="00E01BF1" w:rsidP="00E01BF1">
      <w:r w:rsidRPr="008916B0">
        <w:t xml:space="preserve">ERF administration is important for maintaining the integrity of the ACCUs issued. The Authority notes however that the ERF’s administrative costs reflect the large number of individual projects, methods and scheme participants. Recommendations described in other sections of this </w:t>
      </w:r>
      <w:r>
        <w:t>report (such as Recommendations 18 and 25</w:t>
      </w:r>
      <w:r w:rsidRPr="008916B0">
        <w:t xml:space="preserve">) aim to improve the efficiency of the scheme </w:t>
      </w:r>
      <w:r>
        <w:t>over time.</w:t>
      </w:r>
      <w:r w:rsidRPr="008916B0">
        <w:t xml:space="preserve"> </w:t>
      </w:r>
    </w:p>
    <w:p w14:paraId="24D2D4A2" w14:textId="23BEDBBD" w:rsidR="00631702" w:rsidRPr="005206CA" w:rsidRDefault="00E01BF1" w:rsidP="00E55312">
      <w:r>
        <w:t xml:space="preserve">Registration, </w:t>
      </w:r>
      <w:r w:rsidRPr="008916B0">
        <w:t xml:space="preserve">crediting </w:t>
      </w:r>
      <w:r>
        <w:t xml:space="preserve">and compliance </w:t>
      </w:r>
      <w:r w:rsidRPr="008916B0">
        <w:t xml:space="preserve">activities are necessary for the governance of offset schemes and are likely to be needed even if the Government’s purchasing element of the ERF winds up. As noted in its </w:t>
      </w:r>
      <w:r w:rsidRPr="008916B0">
        <w:rPr>
          <w:i/>
        </w:rPr>
        <w:t>2016 Special Review</w:t>
      </w:r>
      <w:r>
        <w:rPr>
          <w:i/>
        </w:rPr>
        <w:t xml:space="preserve"> </w:t>
      </w:r>
      <w:r w:rsidRPr="003A445E">
        <w:t>(CCA 2016)</w:t>
      </w:r>
      <w:r w:rsidRPr="008916B0">
        <w:t xml:space="preserve">, the land sector is well suited to offsets schemes and the Authority remains of the view that the crediting aspects of the ERF should continue for that sector. Costs associated with </w:t>
      </w:r>
      <w:r>
        <w:t xml:space="preserve">ERF administration </w:t>
      </w:r>
      <w:r w:rsidRPr="008916B0">
        <w:t>can therefore be considered as an investment in future emissions reduction policy (Chapter 14).</w:t>
      </w:r>
    </w:p>
    <w:p w14:paraId="5785823E" w14:textId="77777777" w:rsidR="006D0CD4" w:rsidRPr="005206CA" w:rsidRDefault="00C75683">
      <w:pPr>
        <w:pStyle w:val="Heading2"/>
      </w:pPr>
      <w:bookmarkStart w:id="1609" w:name="_Toc497819521"/>
      <w:bookmarkStart w:id="1610" w:name="_Toc498691590"/>
      <w:bookmarkStart w:id="1611" w:name="_Toc499043769"/>
      <w:bookmarkStart w:id="1612" w:name="_Toc499051794"/>
      <w:bookmarkStart w:id="1613" w:name="_Ref500247243"/>
      <w:bookmarkStart w:id="1614" w:name="_Toc500251147"/>
      <w:bookmarkStart w:id="1615" w:name="_Toc500251422"/>
      <w:bookmarkStart w:id="1616" w:name="_Toc500254019"/>
      <w:bookmarkStart w:id="1617" w:name="_Toc500401526"/>
      <w:bookmarkStart w:id="1618" w:name="_Toc500491014"/>
      <w:bookmarkStart w:id="1619" w:name="_Toc500512951"/>
      <w:bookmarkStart w:id="1620" w:name="_Toc500514211"/>
      <w:bookmarkStart w:id="1621" w:name="_Toc500516263"/>
      <w:r w:rsidRPr="005206CA">
        <w:t>Compliance</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37E25C91" w14:textId="4F8CA01F" w:rsidR="006D0CD4" w:rsidRPr="005206CA" w:rsidRDefault="006D0CD4" w:rsidP="006D0CD4">
      <w:r w:rsidRPr="005206CA">
        <w:t xml:space="preserve">The CER uses a risk-based approach to compliance, focusing on the likelihood and consequences of non-compliance, the behaviour and intention of participants and the costs associated with making sure </w:t>
      </w:r>
      <w:r w:rsidR="002B7B1D">
        <w:t xml:space="preserve">scheme </w:t>
      </w:r>
      <w:r w:rsidRPr="005206CA">
        <w:t xml:space="preserve">participants are meeting their legislative requirements. </w:t>
      </w:r>
    </w:p>
    <w:p w14:paraId="0205EA91" w14:textId="309F50B0" w:rsidR="006D0CD4" w:rsidRPr="005206CA" w:rsidRDefault="006D0CD4" w:rsidP="006D0CD4">
      <w:r w:rsidRPr="005206CA">
        <w:t>The CER’s approach to compliance and enforcement is set out in its compliance, education and enforcement policy available on its website</w:t>
      </w:r>
      <w:r w:rsidR="009E10FA" w:rsidRPr="005206CA">
        <w:t xml:space="preserve"> (</w:t>
      </w:r>
      <w:r w:rsidR="009E10FA" w:rsidRPr="005206CA">
        <w:rPr>
          <w:rStyle w:val="In-textChar"/>
        </w:rPr>
        <w:t xml:space="preserve">CER </w:t>
      </w:r>
      <w:r w:rsidR="00BA0FD4" w:rsidRPr="005206CA">
        <w:rPr>
          <w:rStyle w:val="In-textChar"/>
        </w:rPr>
        <w:t>2017</w:t>
      </w:r>
      <w:r w:rsidR="003A33E5" w:rsidRPr="005206CA">
        <w:rPr>
          <w:rStyle w:val="In-textChar"/>
        </w:rPr>
        <w:t>h</w:t>
      </w:r>
      <w:r w:rsidR="009E10FA" w:rsidRPr="005206CA">
        <w:t>)</w:t>
      </w:r>
      <w:r w:rsidRPr="005206CA">
        <w:t>. Additionally, the CER has also released a document that outlines its compliance priorities for 2017</w:t>
      </w:r>
      <w:r w:rsidR="009E10FA" w:rsidRPr="005206CA">
        <w:t xml:space="preserve"> (</w:t>
      </w:r>
      <w:r w:rsidR="009E10FA" w:rsidRPr="005206CA">
        <w:rPr>
          <w:rStyle w:val="In-textChar"/>
        </w:rPr>
        <w:t xml:space="preserve">CER </w:t>
      </w:r>
      <w:r w:rsidR="00BA0FD4" w:rsidRPr="005206CA">
        <w:rPr>
          <w:rStyle w:val="In-textChar"/>
        </w:rPr>
        <w:t>2017</w:t>
      </w:r>
      <w:r w:rsidR="003A33E5" w:rsidRPr="005206CA">
        <w:rPr>
          <w:rStyle w:val="In-textChar"/>
        </w:rPr>
        <w:t>g</w:t>
      </w:r>
      <w:r w:rsidR="009E10FA" w:rsidRPr="005206CA">
        <w:t>)</w:t>
      </w:r>
      <w:r w:rsidRPr="005206CA">
        <w:t xml:space="preserve">. For the ERF, these include: </w:t>
      </w:r>
    </w:p>
    <w:p w14:paraId="38045F85" w14:textId="77777777" w:rsidR="006D0CD4" w:rsidRPr="005206CA" w:rsidRDefault="007D03CE" w:rsidP="00D43DB8">
      <w:pPr>
        <w:pStyle w:val="ListBullet"/>
      </w:pPr>
      <w:r w:rsidRPr="005206CA">
        <w:t>Re</w:t>
      </w:r>
      <w:r w:rsidR="006D0CD4" w:rsidRPr="005206CA">
        <w:t xml:space="preserve">assessing matters where false or misleading statements have been made or material information has been withheld. </w:t>
      </w:r>
    </w:p>
    <w:p w14:paraId="1AD1368E" w14:textId="58DFB908" w:rsidR="006D0CD4" w:rsidRPr="005206CA" w:rsidRDefault="006D0CD4" w:rsidP="00D43DB8">
      <w:pPr>
        <w:pStyle w:val="ListBullet"/>
      </w:pPr>
      <w:r w:rsidRPr="005206CA">
        <w:t xml:space="preserve">Confirming and validating that projects are not already claiming </w:t>
      </w:r>
      <w:r w:rsidR="002B73FA" w:rsidRPr="005206CA">
        <w:t>ACCUs</w:t>
      </w:r>
      <w:r w:rsidRPr="005206CA">
        <w:t xml:space="preserve"> under another ERF project or other Government programs.</w:t>
      </w:r>
    </w:p>
    <w:p w14:paraId="6726A9C5" w14:textId="004042F1" w:rsidR="006D0CD4" w:rsidRPr="005206CA" w:rsidRDefault="006D0CD4" w:rsidP="00D43DB8">
      <w:pPr>
        <w:pStyle w:val="ListBullet"/>
      </w:pPr>
      <w:r w:rsidRPr="005206CA">
        <w:t xml:space="preserve">Using data analytics and Geographic Information Systems to check if the </w:t>
      </w:r>
      <w:r w:rsidR="00FD10B2" w:rsidRPr="005206CA">
        <w:t>volume</w:t>
      </w:r>
      <w:r w:rsidRPr="005206CA">
        <w:t xml:space="preserve"> of ACCUs issued lines up with other data sources and re-auditing if anomalies are found.</w:t>
      </w:r>
    </w:p>
    <w:p w14:paraId="514BCFA5" w14:textId="3C54C170" w:rsidR="006D0CD4" w:rsidRPr="005206CA" w:rsidRDefault="007D03CE" w:rsidP="00D43DB8">
      <w:pPr>
        <w:pStyle w:val="ListBullet"/>
      </w:pPr>
      <w:r w:rsidRPr="005206CA">
        <w:t>Pro</w:t>
      </w:r>
      <w:r w:rsidR="006D0CD4" w:rsidRPr="005206CA">
        <w:t xml:space="preserve">actively engaging with contracted parties to help ensure the correct </w:t>
      </w:r>
      <w:r w:rsidR="00FD10B2" w:rsidRPr="005206CA">
        <w:t>volume</w:t>
      </w:r>
      <w:r w:rsidR="006D0CD4" w:rsidRPr="005206CA">
        <w:t xml:space="preserve"> of ACCUs will be delivered over the term of the contract and ensuring conditions precedent are being met to allow contracts to commence. </w:t>
      </w:r>
    </w:p>
    <w:p w14:paraId="6469C80D" w14:textId="77777777" w:rsidR="006D0CD4" w:rsidRPr="005206CA" w:rsidRDefault="006D0CD4" w:rsidP="00D43DB8">
      <w:pPr>
        <w:pStyle w:val="ListBullet"/>
      </w:pPr>
      <w:r w:rsidRPr="005206CA">
        <w:t>Monitoring and reviewing variations to the delivery of ACCUs over the term of the contract to ensure they are sought in a timely and appropriate manner.</w:t>
      </w:r>
    </w:p>
    <w:p w14:paraId="492C9621" w14:textId="0E841B01" w:rsidR="006D0CD4" w:rsidRPr="005206CA" w:rsidRDefault="006D0CD4" w:rsidP="006D0CD4">
      <w:r w:rsidRPr="005206CA">
        <w:t>Publication of the compliance focus is intended to increase levels of voluntary compliance, and identify areas for improvement</w:t>
      </w:r>
      <w:r w:rsidR="009E10FA" w:rsidRPr="005206CA">
        <w:t xml:space="preserve"> (</w:t>
      </w:r>
      <w:r w:rsidR="009E10FA" w:rsidRPr="005206CA">
        <w:rPr>
          <w:rStyle w:val="In-textChar"/>
        </w:rPr>
        <w:t xml:space="preserve">CER </w:t>
      </w:r>
      <w:r w:rsidR="00BA0FD4" w:rsidRPr="005206CA">
        <w:rPr>
          <w:rStyle w:val="In-textChar"/>
        </w:rPr>
        <w:t>2017d</w:t>
      </w:r>
      <w:r w:rsidR="009E10FA" w:rsidRPr="005206CA">
        <w:t>)</w:t>
      </w:r>
      <w:r w:rsidRPr="005206CA">
        <w:t>.</w:t>
      </w:r>
    </w:p>
    <w:p w14:paraId="4E88500C" w14:textId="6C00B19B" w:rsidR="006D0CD4" w:rsidRPr="005206CA" w:rsidRDefault="006D0CD4" w:rsidP="006D0CD4">
      <w:r w:rsidRPr="005206CA">
        <w:t>The CER monitors ERF projects and participation and works in close partnership with other agencies that have regulatory responsibilities to share information and where appropriate, refer matters for enforcement. Information provided by</w:t>
      </w:r>
      <w:r w:rsidRPr="005206CA" w:rsidDel="006517B3">
        <w:t xml:space="preserve"> </w:t>
      </w:r>
      <w:r w:rsidR="006517B3">
        <w:t>scheme</w:t>
      </w:r>
      <w:r w:rsidR="006517B3" w:rsidRPr="005206CA">
        <w:t xml:space="preserve"> </w:t>
      </w:r>
      <w:r w:rsidRPr="005206CA">
        <w:t xml:space="preserve">participants also assists in that process. Where the CER suspects a breach of the </w:t>
      </w:r>
      <w:r w:rsidR="00046C36" w:rsidRPr="005206CA">
        <w:rPr>
          <w:rStyle w:val="In-textChar"/>
        </w:rPr>
        <w:t>C</w:t>
      </w:r>
      <w:r w:rsidRPr="005206CA">
        <w:rPr>
          <w:rStyle w:val="In-textChar"/>
        </w:rPr>
        <w:t>FI Act</w:t>
      </w:r>
      <w:r w:rsidRPr="005206CA">
        <w:t xml:space="preserve"> has occurred or may occur, the CER may use its investigative powers under the CFI Act to audit a participant or use other methods to further investigate compliance or request additional information. Where a scheme participant has failed to satisfy their legal obligations, the CER will consider the nature of the non-compliance when determining how it will deal with the matter. </w:t>
      </w:r>
    </w:p>
    <w:p w14:paraId="5E73B0F4" w14:textId="77777777" w:rsidR="006D0CD4" w:rsidRPr="005206CA" w:rsidRDefault="00CF2727">
      <w:pPr>
        <w:pStyle w:val="Heading3"/>
      </w:pPr>
      <w:r w:rsidRPr="005206CA">
        <w:t>Compliance penalties</w:t>
      </w:r>
    </w:p>
    <w:p w14:paraId="17585D41" w14:textId="2B794DB1" w:rsidR="006D0CD4" w:rsidRPr="005206CA" w:rsidRDefault="006D0CD4" w:rsidP="006D0CD4">
      <w:r w:rsidRPr="005206CA">
        <w:t>The CER has a range of graduated enforcement options at its disposal. For example, where the participant has accidentally failed to comply with an obligation, and is taking steps to rectify the problem, the CER may guide the participant on how to best address the non-compliance. Where there is deliberate non-compliance with evidence of a criminal or fraudulent intent, the CER may initiate investigations, pursue civil action or refer matters for criminal prosecution. The CER can also revoke the registration of an ERF project or enter into a voluntary, but enforceable</w:t>
      </w:r>
      <w:r w:rsidR="005F5E3D">
        <w:t>,</w:t>
      </w:r>
      <w:r w:rsidRPr="005206CA">
        <w:t xml:space="preserve"> undertaking with the </w:t>
      </w:r>
      <w:r w:rsidR="007E5547" w:rsidRPr="005206CA">
        <w:t>scheme participant</w:t>
      </w:r>
      <w:r w:rsidRPr="005206CA">
        <w:t>. The CER can also obtain court injunctions to prevent or require action to occur (</w:t>
      </w:r>
      <w:r w:rsidRPr="005206CA">
        <w:rPr>
          <w:rStyle w:val="In-textChar"/>
        </w:rPr>
        <w:t xml:space="preserve">CER </w:t>
      </w:r>
      <w:r w:rsidR="00DE4642" w:rsidRPr="005206CA">
        <w:rPr>
          <w:rStyle w:val="In-textChar"/>
        </w:rPr>
        <w:t>2017e</w:t>
      </w:r>
      <w:r w:rsidRPr="005206CA">
        <w:t xml:space="preserve">). </w:t>
      </w:r>
    </w:p>
    <w:p w14:paraId="33FE4D92" w14:textId="77777777" w:rsidR="006D0CD4" w:rsidRPr="005206CA" w:rsidRDefault="00CF2727">
      <w:pPr>
        <w:pStyle w:val="Heading3"/>
      </w:pPr>
      <w:r w:rsidRPr="005206CA">
        <w:t>Penalty infringement notices</w:t>
      </w:r>
    </w:p>
    <w:p w14:paraId="3DF2B467" w14:textId="5BD94A26" w:rsidR="006D0CD4" w:rsidRPr="005206CA" w:rsidRDefault="006D0CD4" w:rsidP="006D0CD4">
      <w:r w:rsidRPr="005206CA">
        <w:t xml:space="preserve">The Authority examined the compliance penalties available to the CER in </w:t>
      </w:r>
      <w:r w:rsidR="0001584E" w:rsidRPr="005206CA">
        <w:rPr>
          <w:rStyle w:val="SectionChapterChar"/>
        </w:rPr>
        <w:fldChar w:fldCharType="begin"/>
      </w:r>
      <w:r w:rsidR="0001584E" w:rsidRPr="00AC7279">
        <w:rPr>
          <w:rStyle w:val="SectionChapterChar"/>
        </w:rPr>
        <w:instrText xml:space="preserve"> REF _Ref500248671 \w \h </w:instrText>
      </w:r>
      <w:r w:rsidR="0001584E" w:rsidRPr="005206CA">
        <w:rPr>
          <w:rStyle w:val="SectionChapterChar"/>
        </w:rPr>
        <w:instrText xml:space="preserve"> \* MERGEFORMAT </w:instrText>
      </w:r>
      <w:r w:rsidR="0001584E" w:rsidRPr="005206CA">
        <w:rPr>
          <w:rStyle w:val="SectionChapterChar"/>
        </w:rPr>
      </w:r>
      <w:r w:rsidR="0001584E" w:rsidRPr="005206CA">
        <w:rPr>
          <w:rStyle w:val="SectionChapterChar"/>
        </w:rPr>
        <w:fldChar w:fldCharType="separate"/>
      </w:r>
      <w:r w:rsidR="00FA2002">
        <w:rPr>
          <w:rStyle w:val="SectionChapterChar"/>
        </w:rPr>
        <w:t>Chapter 5</w:t>
      </w:r>
      <w:r w:rsidR="0001584E" w:rsidRPr="005206CA">
        <w:rPr>
          <w:rStyle w:val="SectionChapterChar"/>
        </w:rPr>
        <w:fldChar w:fldCharType="end"/>
      </w:r>
      <w:r w:rsidR="002135B1">
        <w:rPr>
          <w:rStyle w:val="SectionChapterChar"/>
        </w:rPr>
        <w:t xml:space="preserve"> </w:t>
      </w:r>
      <w:r w:rsidRPr="005206CA">
        <w:t>when considering permanence and concluded that the tools available are generally sufficient. There is one exception however</w:t>
      </w:r>
      <w:r w:rsidR="008E25EF">
        <w:t>,</w:t>
      </w:r>
      <w:r w:rsidRPr="005206CA">
        <w:t xml:space="preserve"> which relates to more minor infringements.</w:t>
      </w:r>
    </w:p>
    <w:p w14:paraId="22FFAF82" w14:textId="77777777" w:rsidR="006D0CD4" w:rsidRPr="005206CA" w:rsidRDefault="006D0CD4" w:rsidP="006D0CD4">
      <w:r w:rsidRPr="005206CA">
        <w:t>The CFI Act specifies that certain ERF requirements such as project reporting are subject to civil penalties. To use these penalties, the CER must work through the courts, which can be a lengthy and expensive process. The lack of compliance may also be of a minor nature, which in turn means that seeking civil penalties may not be justified.</w:t>
      </w:r>
    </w:p>
    <w:p w14:paraId="45FCCAC5" w14:textId="71514D05" w:rsidR="00CF2727" w:rsidRPr="005206CA" w:rsidRDefault="006D0CD4" w:rsidP="00CF2727">
      <w:r w:rsidRPr="005206CA">
        <w:t xml:space="preserve">Other legislative schemes such as the Small-scale Renewable Energy Scheme can issue penalty infringement notices </w:t>
      </w:r>
      <w:r w:rsidR="00BE7301" w:rsidRPr="005206CA">
        <w:t>similar</w:t>
      </w:r>
      <w:r w:rsidR="00A91166" w:rsidRPr="005206CA">
        <w:t xml:space="preserve"> to </w:t>
      </w:r>
      <w:r w:rsidRPr="005206CA">
        <w:t>fines for relatively minor compliance breaches without the need to go through the courts</w:t>
      </w:r>
      <w:r w:rsidR="009E10FA" w:rsidRPr="005206CA">
        <w:t xml:space="preserve"> (</w:t>
      </w:r>
      <w:r w:rsidR="009E10FA" w:rsidRPr="005206CA">
        <w:rPr>
          <w:i/>
        </w:rPr>
        <w:t>Renewable Energy (Electricity) Act 2000</w:t>
      </w:r>
      <w:r w:rsidR="009E10FA" w:rsidRPr="005206CA">
        <w:t xml:space="preserve"> (</w:t>
      </w:r>
      <w:r w:rsidR="009E10FA" w:rsidRPr="005206CA">
        <w:rPr>
          <w:rStyle w:val="In-textChar"/>
        </w:rPr>
        <w:t>Cth</w:t>
      </w:r>
      <w:r w:rsidR="009E10FA" w:rsidRPr="005206CA">
        <w:t>))</w:t>
      </w:r>
      <w:r w:rsidRPr="005206CA">
        <w:t xml:space="preserve">. The Authority is of the view that issuing penalty infringement notices for specified more minor compliance breaches would be a useful enforcement option for the CER because it would enable instances of non-compliance to </w:t>
      </w:r>
      <w:r w:rsidR="001B083C" w:rsidRPr="005206CA">
        <w:t xml:space="preserve">be calibrated to the specific infringement and </w:t>
      </w:r>
      <w:r w:rsidRPr="005206CA">
        <w:t>dealt with cost-effectively.</w:t>
      </w:r>
    </w:p>
    <w:tbl>
      <w:tblPr>
        <w:tblStyle w:val="TableGrid"/>
        <w:tblW w:w="0" w:type="auto"/>
        <w:shd w:val="clear" w:color="auto" w:fill="E6ECF2"/>
        <w:tblLook w:val="04A0" w:firstRow="1" w:lastRow="0" w:firstColumn="1" w:lastColumn="0" w:noHBand="0" w:noVBand="1"/>
      </w:tblPr>
      <w:tblGrid>
        <w:gridCol w:w="9202"/>
      </w:tblGrid>
      <w:tr w:rsidR="00CF2727" w:rsidRPr="005206CA" w14:paraId="51DF8CA6" w14:textId="77777777" w:rsidTr="00CF2727">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0DFBB86B" w14:textId="77777777" w:rsidR="00CF2727" w:rsidRPr="005206CA" w:rsidRDefault="00CF2727">
            <w:pPr>
              <w:rPr>
                <w:rFonts w:cs="Arial"/>
                <w:b/>
                <w:color w:val="159DCE"/>
                <w:sz w:val="18"/>
                <w:szCs w:val="18"/>
              </w:rPr>
            </w:pPr>
            <w:r w:rsidRPr="005206CA">
              <w:rPr>
                <w:rFonts w:cs="Arial"/>
                <w:b/>
                <w:color w:val="159DCE"/>
                <w:sz w:val="18"/>
                <w:szCs w:val="18"/>
              </w:rPr>
              <w:t>RECOMMENDATION</w:t>
            </w:r>
          </w:p>
          <w:p w14:paraId="0CDE93FA" w14:textId="5F237173" w:rsidR="00CF2727" w:rsidRPr="005206CA" w:rsidRDefault="00CF2727" w:rsidP="00234665">
            <w:pPr>
              <w:spacing w:after="140" w:line="320" w:lineRule="exact"/>
              <w:ind w:left="851" w:hanging="851"/>
              <w:rPr>
                <w:rFonts w:cs="Arial"/>
                <w:color w:val="414141"/>
                <w:sz w:val="18"/>
                <w:szCs w:val="18"/>
              </w:rPr>
            </w:pPr>
            <w:bookmarkStart w:id="1622" w:name="_Ref497828323"/>
            <w:bookmarkStart w:id="1623" w:name="R25"/>
            <w:bookmarkStart w:id="1624" w:name="_Toc497316915"/>
            <w:bookmarkStart w:id="1625" w:name="_Toc497827458"/>
            <w:bookmarkStart w:id="1626" w:name="_Toc497834094"/>
            <w:bookmarkStart w:id="1627" w:name="_Toc498534536"/>
            <w:bookmarkStart w:id="1628" w:name="_Toc498614731"/>
            <w:bookmarkStart w:id="1629" w:name="_Toc498691486"/>
            <w:bookmarkStart w:id="1630" w:name="_Toc499051685"/>
            <w:bookmarkStart w:id="1631" w:name="_Toc499202070"/>
            <w:bookmarkStart w:id="1632" w:name="_Toc499892354"/>
            <w:bookmarkStart w:id="1633" w:name="_Toc499898715"/>
            <w:bookmarkStart w:id="1634" w:name="_Toc499899355"/>
            <w:r w:rsidRPr="005206CA">
              <w:rPr>
                <w:rFonts w:cs="Arial"/>
                <w:sz w:val="18"/>
                <w:szCs w:val="18"/>
              </w:rPr>
              <w:t xml:space="preserve">R. </w:t>
            </w:r>
            <w:r w:rsidRPr="005206CA">
              <w:fldChar w:fldCharType="begin"/>
            </w:r>
            <w:r w:rsidRPr="005206CA">
              <w:rPr>
                <w:rFonts w:cs="Arial"/>
                <w:sz w:val="18"/>
                <w:szCs w:val="18"/>
              </w:rPr>
              <w:instrText xml:space="preserve"> SEQ R. \* ARABIC </w:instrText>
            </w:r>
            <w:r w:rsidRPr="005206CA">
              <w:fldChar w:fldCharType="separate"/>
            </w:r>
            <w:r w:rsidR="00FA2002">
              <w:rPr>
                <w:rFonts w:cs="Arial"/>
                <w:noProof/>
                <w:sz w:val="18"/>
                <w:szCs w:val="18"/>
              </w:rPr>
              <w:t>25</w:t>
            </w:r>
            <w:r w:rsidRPr="005206CA">
              <w:fldChar w:fldCharType="end"/>
            </w:r>
            <w:bookmarkEnd w:id="1622"/>
            <w:bookmarkEnd w:id="1623"/>
            <w:r w:rsidR="005D41E0">
              <w:t>.</w:t>
            </w:r>
            <w:r w:rsidRPr="005206CA">
              <w:rPr>
                <w:rFonts w:cs="Arial"/>
                <w:sz w:val="18"/>
                <w:szCs w:val="18"/>
              </w:rPr>
              <w:t xml:space="preserve"> </w:t>
            </w:r>
            <w:r w:rsidR="00AD5BC1" w:rsidRPr="005206CA">
              <w:rPr>
                <w:rFonts w:cs="Arial"/>
                <w:sz w:val="18"/>
                <w:szCs w:val="18"/>
              </w:rPr>
              <w:tab/>
            </w:r>
            <w:bookmarkStart w:id="1635" w:name="_Ref500236898"/>
            <w:r w:rsidRPr="005206CA">
              <w:rPr>
                <w:rFonts w:cs="Arial"/>
                <w:sz w:val="18"/>
                <w:szCs w:val="18"/>
              </w:rPr>
              <w:t xml:space="preserve">The </w:t>
            </w:r>
            <w:r w:rsidR="00E827D8" w:rsidRPr="005206CA">
              <w:rPr>
                <w:rFonts w:cs="Arial"/>
                <w:i/>
                <w:sz w:val="18"/>
                <w:szCs w:val="18"/>
              </w:rPr>
              <w:t>C</w:t>
            </w:r>
            <w:r w:rsidR="00951588" w:rsidRPr="005206CA">
              <w:rPr>
                <w:rFonts w:cs="Arial"/>
                <w:i/>
                <w:sz w:val="18"/>
                <w:szCs w:val="18"/>
              </w:rPr>
              <w:t xml:space="preserve">arbon Credits (Carbon </w:t>
            </w:r>
            <w:r w:rsidR="00E827D8" w:rsidRPr="005206CA">
              <w:rPr>
                <w:rFonts w:cs="Arial"/>
                <w:i/>
                <w:sz w:val="18"/>
                <w:szCs w:val="18"/>
              </w:rPr>
              <w:t>F</w:t>
            </w:r>
            <w:r w:rsidR="00951588" w:rsidRPr="005206CA">
              <w:rPr>
                <w:rFonts w:cs="Arial"/>
                <w:i/>
                <w:sz w:val="18"/>
                <w:szCs w:val="18"/>
              </w:rPr>
              <w:t>arming Initiative</w:t>
            </w:r>
            <w:r w:rsidR="00E662C0">
              <w:rPr>
                <w:rFonts w:cs="Arial"/>
                <w:i/>
                <w:sz w:val="18"/>
                <w:szCs w:val="18"/>
              </w:rPr>
              <w:t>)</w:t>
            </w:r>
            <w:r w:rsidR="00E827D8" w:rsidRPr="005206CA">
              <w:rPr>
                <w:rFonts w:cs="Arial"/>
                <w:i/>
                <w:sz w:val="18"/>
                <w:szCs w:val="18"/>
              </w:rPr>
              <w:t xml:space="preserve"> Act</w:t>
            </w:r>
            <w:r w:rsidR="00951588" w:rsidRPr="005206CA">
              <w:rPr>
                <w:rFonts w:cs="Arial"/>
                <w:i/>
                <w:sz w:val="18"/>
                <w:szCs w:val="18"/>
              </w:rPr>
              <w:t xml:space="preserve"> 2011</w:t>
            </w:r>
            <w:r w:rsidR="00951588" w:rsidRPr="005206CA">
              <w:rPr>
                <w:rFonts w:cs="Arial"/>
                <w:sz w:val="18"/>
                <w:szCs w:val="18"/>
              </w:rPr>
              <w:t xml:space="preserve"> (Cth)</w:t>
            </w:r>
            <w:r w:rsidR="00E827D8" w:rsidRPr="005206CA">
              <w:rPr>
                <w:rFonts w:cs="Arial"/>
                <w:sz w:val="18"/>
                <w:szCs w:val="18"/>
              </w:rPr>
              <w:t xml:space="preserve"> be amended to </w:t>
            </w:r>
            <w:r w:rsidRPr="005206CA">
              <w:rPr>
                <w:rFonts w:cs="Arial"/>
                <w:sz w:val="18"/>
                <w:szCs w:val="18"/>
              </w:rPr>
              <w:t>expand the C</w:t>
            </w:r>
            <w:r w:rsidR="00951588" w:rsidRPr="005206CA">
              <w:rPr>
                <w:rFonts w:cs="Arial"/>
                <w:sz w:val="18"/>
                <w:szCs w:val="18"/>
              </w:rPr>
              <w:t xml:space="preserve">lean </w:t>
            </w:r>
            <w:r w:rsidRPr="005206CA">
              <w:rPr>
                <w:rFonts w:cs="Arial"/>
                <w:sz w:val="18"/>
                <w:szCs w:val="18"/>
              </w:rPr>
              <w:t>E</w:t>
            </w:r>
            <w:r w:rsidR="00951588" w:rsidRPr="005206CA">
              <w:rPr>
                <w:rFonts w:cs="Arial"/>
                <w:sz w:val="18"/>
                <w:szCs w:val="18"/>
              </w:rPr>
              <w:t xml:space="preserve">nergy </w:t>
            </w:r>
            <w:r w:rsidRPr="005206CA">
              <w:rPr>
                <w:rFonts w:cs="Arial"/>
                <w:sz w:val="18"/>
                <w:szCs w:val="18"/>
              </w:rPr>
              <w:t>R</w:t>
            </w:r>
            <w:r w:rsidR="00951588" w:rsidRPr="005206CA">
              <w:rPr>
                <w:rFonts w:cs="Arial"/>
                <w:sz w:val="18"/>
                <w:szCs w:val="18"/>
              </w:rPr>
              <w:t>egulator</w:t>
            </w:r>
            <w:r w:rsidRPr="005206CA">
              <w:rPr>
                <w:rFonts w:cs="Arial"/>
                <w:sz w:val="18"/>
                <w:szCs w:val="18"/>
              </w:rPr>
              <w:t>’s regulatory toolkit to include issuing penalty infringement notices (</w:t>
            </w:r>
            <w:r w:rsidR="00E827D8" w:rsidRPr="005206CA">
              <w:rPr>
                <w:rFonts w:cs="Arial"/>
                <w:sz w:val="18"/>
                <w:szCs w:val="18"/>
              </w:rPr>
              <w:t>similar to</w:t>
            </w:r>
            <w:r w:rsidRPr="005206CA">
              <w:rPr>
                <w:rFonts w:cs="Arial"/>
                <w:sz w:val="18"/>
                <w:szCs w:val="18"/>
              </w:rPr>
              <w:t xml:space="preserve"> fines) for some </w:t>
            </w:r>
            <w:r w:rsidR="00E827D8" w:rsidRPr="005206CA">
              <w:rPr>
                <w:rFonts w:cs="Arial"/>
                <w:sz w:val="18"/>
                <w:szCs w:val="18"/>
              </w:rPr>
              <w:t xml:space="preserve">specified </w:t>
            </w:r>
            <w:r w:rsidRPr="005206CA">
              <w:rPr>
                <w:rFonts w:cs="Arial"/>
                <w:sz w:val="18"/>
                <w:szCs w:val="18"/>
              </w:rPr>
              <w:t>instances of non-compliance such as non-reporting.</w:t>
            </w:r>
            <w:bookmarkEnd w:id="1624"/>
            <w:bookmarkEnd w:id="1625"/>
            <w:bookmarkEnd w:id="1626"/>
            <w:bookmarkEnd w:id="1627"/>
            <w:bookmarkEnd w:id="1628"/>
            <w:bookmarkEnd w:id="1629"/>
            <w:bookmarkEnd w:id="1630"/>
            <w:bookmarkEnd w:id="1631"/>
            <w:bookmarkEnd w:id="1632"/>
            <w:bookmarkEnd w:id="1633"/>
            <w:bookmarkEnd w:id="1634"/>
            <w:bookmarkEnd w:id="1635"/>
          </w:p>
        </w:tc>
      </w:tr>
    </w:tbl>
    <w:p w14:paraId="0823AA4E" w14:textId="77777777" w:rsidR="006D0CD4" w:rsidRPr="005206CA" w:rsidRDefault="006D0CD4" w:rsidP="006D0CD4"/>
    <w:p w14:paraId="5B491853" w14:textId="77777777" w:rsidR="00133102" w:rsidRPr="005206CA" w:rsidRDefault="00133102">
      <w:pPr>
        <w:spacing w:after="0" w:line="240" w:lineRule="auto"/>
        <w:rPr>
          <w:rFonts w:ascii="Arial Bold" w:hAnsi="Arial Bold"/>
          <w:b/>
          <w:caps/>
          <w:color w:val="159DCE"/>
          <w:sz w:val="34"/>
          <w:szCs w:val="34"/>
        </w:rPr>
      </w:pPr>
      <w:r w:rsidRPr="005206CA">
        <w:br w:type="page"/>
      </w:r>
    </w:p>
    <w:p w14:paraId="1E370584" w14:textId="77777777" w:rsidR="00590755" w:rsidRPr="005206CA" w:rsidRDefault="000F74F1">
      <w:pPr>
        <w:pStyle w:val="Heading1"/>
        <w:numPr>
          <w:ilvl w:val="0"/>
          <w:numId w:val="44"/>
        </w:numPr>
      </w:pPr>
      <w:r w:rsidRPr="005206CA">
        <w:t xml:space="preserve"> </w:t>
      </w:r>
      <w:bookmarkStart w:id="1636" w:name="_Toc497819522"/>
      <w:bookmarkStart w:id="1637" w:name="_Toc498691591"/>
      <w:bookmarkStart w:id="1638" w:name="_Toc499043770"/>
      <w:bookmarkStart w:id="1639" w:name="_Toc499051795"/>
      <w:bookmarkStart w:id="1640" w:name="_Ref500248078"/>
      <w:bookmarkStart w:id="1641" w:name="_Toc500251148"/>
      <w:bookmarkStart w:id="1642" w:name="_Toc500251423"/>
      <w:bookmarkStart w:id="1643" w:name="_Toc500254020"/>
      <w:bookmarkStart w:id="1644" w:name="_Toc500401527"/>
      <w:bookmarkStart w:id="1645" w:name="_Toc500491015"/>
      <w:bookmarkStart w:id="1646" w:name="_Toc500512952"/>
      <w:bookmarkStart w:id="1647" w:name="_Toc500514212"/>
      <w:bookmarkStart w:id="1648" w:name="_Toc500516264"/>
      <w:r w:rsidRPr="005206CA">
        <w:t>International markets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3FDB58DE" w14:textId="6F7D5943" w:rsidR="000F74F1" w:rsidRPr="005206CA" w:rsidRDefault="000F74F1" w:rsidP="000F74F1">
      <w:r w:rsidRPr="005206CA">
        <w:t xml:space="preserve">International trade in emissions reductions can help to achieve domestic and global emissions reductions at lower cost by allowing countries to import </w:t>
      </w:r>
      <w:r w:rsidR="00354BA9">
        <w:t>international units</w:t>
      </w:r>
      <w:r w:rsidRPr="005206CA">
        <w:t xml:space="preserve"> from overseas if they are cheaper than reducing emissions domestically. Provided the emissions reductions underlying any carbon unit are genuine, international emissions reductions have the same effect to reduce emissions as domestic reductions. However, extensive use of international units could delay efforts to make the Australian economy less emissions intensive over time.</w:t>
      </w:r>
    </w:p>
    <w:p w14:paraId="5CED142A" w14:textId="4A097D88" w:rsidR="000F74F1" w:rsidRPr="005206CA" w:rsidRDefault="000F74F1">
      <w:pPr>
        <w:pStyle w:val="Heading2"/>
      </w:pPr>
      <w:bookmarkStart w:id="1649" w:name="_Toc497819523"/>
      <w:bookmarkStart w:id="1650" w:name="_Toc498691592"/>
      <w:bookmarkStart w:id="1651" w:name="_Toc499043771"/>
      <w:bookmarkStart w:id="1652" w:name="_Toc499051796"/>
      <w:bookmarkStart w:id="1653" w:name="_Toc500251149"/>
      <w:bookmarkStart w:id="1654" w:name="_Toc500251424"/>
      <w:bookmarkStart w:id="1655" w:name="_Toc500254021"/>
      <w:bookmarkStart w:id="1656" w:name="_Toc500401528"/>
      <w:bookmarkStart w:id="1657" w:name="_Toc500491016"/>
      <w:bookmarkStart w:id="1658" w:name="_Toc500512953"/>
      <w:bookmarkStart w:id="1659" w:name="_Toc500514213"/>
      <w:bookmarkStart w:id="1660" w:name="_Toc500516265"/>
      <w:r w:rsidRPr="005206CA">
        <w:t>International demand for A</w:t>
      </w:r>
      <w:r w:rsidR="00046C36" w:rsidRPr="005206CA">
        <w:t xml:space="preserve">ustralian </w:t>
      </w:r>
      <w:r w:rsidRPr="005206CA">
        <w:t>C</w:t>
      </w:r>
      <w:r w:rsidR="00046C36" w:rsidRPr="005206CA">
        <w:t xml:space="preserve">arbon </w:t>
      </w:r>
      <w:r w:rsidRPr="005206CA">
        <w:t>C</w:t>
      </w:r>
      <w:r w:rsidR="00046C36" w:rsidRPr="005206CA">
        <w:t xml:space="preserve">redit </w:t>
      </w:r>
      <w:r w:rsidRPr="005206CA">
        <w:t>U</w:t>
      </w:r>
      <w:r w:rsidR="00046C36" w:rsidRPr="005206CA">
        <w:t>nit</w:t>
      </w:r>
      <w:r w:rsidRPr="005206CA">
        <w:t>s</w:t>
      </w:r>
      <w:bookmarkEnd w:id="1649"/>
      <w:bookmarkEnd w:id="1650"/>
      <w:bookmarkEnd w:id="1651"/>
      <w:bookmarkEnd w:id="1652"/>
      <w:bookmarkEnd w:id="1653"/>
      <w:bookmarkEnd w:id="1654"/>
      <w:bookmarkEnd w:id="1655"/>
      <w:bookmarkEnd w:id="1656"/>
      <w:bookmarkEnd w:id="1657"/>
      <w:bookmarkEnd w:id="1658"/>
      <w:bookmarkEnd w:id="1659"/>
      <w:bookmarkEnd w:id="1660"/>
    </w:p>
    <w:p w14:paraId="0E2B6F18" w14:textId="36D6562D" w:rsidR="000F74F1" w:rsidRPr="005206CA" w:rsidRDefault="000F74F1" w:rsidP="000F74F1">
      <w:r w:rsidRPr="005206CA">
        <w:t>Under the E</w:t>
      </w:r>
      <w:r w:rsidR="00046C36" w:rsidRPr="005206CA">
        <w:t xml:space="preserve">missions </w:t>
      </w:r>
      <w:r w:rsidRPr="005206CA">
        <w:t>R</w:t>
      </w:r>
      <w:r w:rsidR="00046C36" w:rsidRPr="005206CA">
        <w:t xml:space="preserve">eduction </w:t>
      </w:r>
      <w:r w:rsidRPr="005206CA">
        <w:t>F</w:t>
      </w:r>
      <w:r w:rsidR="00046C36" w:rsidRPr="005206CA">
        <w:t>und (ERF)</w:t>
      </w:r>
      <w:r w:rsidRPr="005206CA">
        <w:t>, exports of A</w:t>
      </w:r>
      <w:r w:rsidR="00046C36" w:rsidRPr="005206CA">
        <w:t xml:space="preserve">ustralian </w:t>
      </w:r>
      <w:r w:rsidRPr="005206CA">
        <w:t>C</w:t>
      </w:r>
      <w:r w:rsidR="00046C36" w:rsidRPr="005206CA">
        <w:t xml:space="preserve">arbon </w:t>
      </w:r>
      <w:r w:rsidRPr="005206CA">
        <w:t>C</w:t>
      </w:r>
      <w:r w:rsidR="00046C36" w:rsidRPr="005206CA">
        <w:t xml:space="preserve">redit </w:t>
      </w:r>
      <w:r w:rsidRPr="005206CA">
        <w:t>U</w:t>
      </w:r>
      <w:r w:rsidR="00046C36" w:rsidRPr="005206CA">
        <w:t>nit</w:t>
      </w:r>
      <w:r w:rsidRPr="005206CA">
        <w:t>s</w:t>
      </w:r>
      <w:r w:rsidR="00046C36" w:rsidRPr="005206CA">
        <w:t xml:space="preserve"> (ACCUs)</w:t>
      </w:r>
      <w:r w:rsidRPr="005206CA">
        <w:t xml:space="preserve"> are not allowed. While the export of ACCUs may increase demand and spur investment in ERF projects, </w:t>
      </w:r>
      <w:r w:rsidR="00354BA9">
        <w:t xml:space="preserve">abatement represented by </w:t>
      </w:r>
      <w:r w:rsidRPr="005206CA">
        <w:t>ACCUs that are exported do</w:t>
      </w:r>
      <w:r w:rsidR="007C0511">
        <w:t>es</w:t>
      </w:r>
      <w:r w:rsidRPr="005206CA">
        <w:t xml:space="preserve"> not count towards meeting Australia’s emissions reduction targets and would make the task of meeting Australia’s targets more difficult (</w:t>
      </w:r>
      <w:r w:rsidRPr="005206CA">
        <w:rPr>
          <w:rStyle w:val="In-textChar"/>
        </w:rPr>
        <w:t>Australian Government 2014</w:t>
      </w:r>
      <w:r w:rsidRPr="005206CA">
        <w:t xml:space="preserve">). </w:t>
      </w:r>
    </w:p>
    <w:p w14:paraId="3351AB69" w14:textId="49CAE0B8" w:rsidR="000F74F1" w:rsidRPr="005206CA" w:rsidRDefault="000F74F1" w:rsidP="000F74F1">
      <w:r w:rsidRPr="005206CA">
        <w:t>While there is currently an excess of carbon credits in the international market (</w:t>
      </w:r>
      <w:r w:rsidRPr="005206CA">
        <w:rPr>
          <w:rStyle w:val="In-textChar"/>
        </w:rPr>
        <w:t>Ecosystem Marketplace 2017</w:t>
      </w:r>
      <w:r w:rsidRPr="005206CA">
        <w:t>), the Authority is of the view that international demand for ACCUs will increase over</w:t>
      </w:r>
      <w:r w:rsidR="00E77B9E">
        <w:t xml:space="preserve"> </w:t>
      </w:r>
      <w:r w:rsidRPr="005206CA">
        <w:t>time in response to a number of arrangements outlined below.</w:t>
      </w:r>
    </w:p>
    <w:p w14:paraId="5F299DC1" w14:textId="57B4D97B" w:rsidR="000F74F1" w:rsidRPr="005206CA" w:rsidRDefault="000F74F1" w:rsidP="003F2F59">
      <w:pPr>
        <w:pStyle w:val="ListBullet"/>
      </w:pPr>
      <w:r w:rsidRPr="005206CA">
        <w:t xml:space="preserve">The Paris Agreement: As countries implement policies to meet their commitments under the Paris Agreement, there may be increased demand for international units, </w:t>
      </w:r>
      <w:r w:rsidR="00354BA9">
        <w:t xml:space="preserve">possibly </w:t>
      </w:r>
      <w:r w:rsidRPr="005206CA">
        <w:t xml:space="preserve">including </w:t>
      </w:r>
      <w:r w:rsidR="00354BA9">
        <w:t xml:space="preserve">for </w:t>
      </w:r>
      <w:r w:rsidRPr="005206CA">
        <w:t xml:space="preserve">ACCUs. The implications of the Paris Agreement, in particular the international trading features of the agreement, will evolve over time. </w:t>
      </w:r>
    </w:p>
    <w:p w14:paraId="51D9881C" w14:textId="50083B6B" w:rsidR="003D7817" w:rsidRPr="005206CA" w:rsidRDefault="003D7817" w:rsidP="003D7817">
      <w:pPr>
        <w:pStyle w:val="ListBullet"/>
      </w:pPr>
      <w:r w:rsidRPr="005206CA">
        <w:t xml:space="preserve">The International Civil Aviation Organisation (ICAO): ICAO is currently developing a market based measure to offset and reduce emissions </w:t>
      </w:r>
      <w:r>
        <w:t xml:space="preserve">growth </w:t>
      </w:r>
      <w:r w:rsidRPr="005206CA">
        <w:t>from the international aviation sector – the Carbon Offsetting and Reduction Scheme for International Aviation (CORSIA). The required volume of emissions that would be needed to be offset annually under CORSIA could be around 142 to 174 Mt CO</w:t>
      </w:r>
      <w:r w:rsidRPr="005206CA">
        <w:rPr>
          <w:vertAlign w:val="subscript"/>
        </w:rPr>
        <w:t>2</w:t>
      </w:r>
      <w:r w:rsidRPr="005206CA">
        <w:t>-e by 2025 and more than double that volume by 2035 (</w:t>
      </w:r>
      <w:r w:rsidRPr="005206CA">
        <w:rPr>
          <w:rStyle w:val="In-textChar"/>
        </w:rPr>
        <w:t>ICAO 2017</w:t>
      </w:r>
      <w:r w:rsidRPr="005206CA">
        <w:t>). The types of</w:t>
      </w:r>
      <w:r w:rsidRPr="005206CA" w:rsidDel="004E7BDF">
        <w:t xml:space="preserve"> </w:t>
      </w:r>
      <w:r w:rsidR="004E7BDF">
        <w:t>carbon</w:t>
      </w:r>
      <w:r w:rsidR="004E7BDF" w:rsidRPr="005206CA">
        <w:t xml:space="preserve"> </w:t>
      </w:r>
      <w:r w:rsidRPr="005206CA">
        <w:t xml:space="preserve">units that will be eligible for use under CORSIA has not yet been determined. The Australian Government could apply to ICAO for ACCUs to be recognised under the scheme. If accepted such a move could require a Government decision to allow for the export of </w:t>
      </w:r>
      <w:r>
        <w:t xml:space="preserve">abatement represented by </w:t>
      </w:r>
      <w:r w:rsidRPr="005206CA">
        <w:t>ACCUs</w:t>
      </w:r>
      <w:r>
        <w:t xml:space="preserve"> and ensure that abatement is not double counted</w:t>
      </w:r>
      <w:r w:rsidRPr="005206CA">
        <w:t>. If ACCUs were not eligible, Australian based airlines may not be able to use ACCUs to comply with the scheme.</w:t>
      </w:r>
    </w:p>
    <w:p w14:paraId="5A95E14F" w14:textId="7EC9801E" w:rsidR="000F74F1" w:rsidRPr="005206CA" w:rsidRDefault="000F74F1" w:rsidP="003F2F59">
      <w:pPr>
        <w:pStyle w:val="ListBullet"/>
      </w:pPr>
      <w:r w:rsidRPr="005206CA">
        <w:t>International Carbon Reduction and Offset Alliance (ICROA): ICROA has recently endorsed the use of units issued through the ERF</w:t>
      </w:r>
      <w:r w:rsidR="001C72D3" w:rsidRPr="005206CA">
        <w:t xml:space="preserve"> (</w:t>
      </w:r>
      <w:r w:rsidR="001C72D3" w:rsidRPr="005206CA">
        <w:rPr>
          <w:rStyle w:val="In-textChar"/>
        </w:rPr>
        <w:t xml:space="preserve">ICROA </w:t>
      </w:r>
      <w:r w:rsidR="00DE4642" w:rsidRPr="005206CA">
        <w:rPr>
          <w:rStyle w:val="In-textChar"/>
        </w:rPr>
        <w:t>n.d</w:t>
      </w:r>
      <w:r w:rsidR="00DE4642" w:rsidRPr="005206CA">
        <w:t>.</w:t>
      </w:r>
      <w:r w:rsidR="001C72D3" w:rsidRPr="005206CA">
        <w:t>)</w:t>
      </w:r>
      <w:r w:rsidRPr="005206CA">
        <w:t xml:space="preserve">. ICROA members include leading global carbon service providers who adhere to the ICROA </w:t>
      </w:r>
      <w:r w:rsidR="001C72D3" w:rsidRPr="005206CA">
        <w:t>code of best practice</w:t>
      </w:r>
      <w:r w:rsidR="000E6D13">
        <w:t xml:space="preserve"> which is an international standard for best practice carbon management and offsetting</w:t>
      </w:r>
      <w:r w:rsidRPr="005206CA">
        <w:t>. In 201</w:t>
      </w:r>
      <w:r w:rsidR="001C72D3" w:rsidRPr="005206CA">
        <w:t>6</w:t>
      </w:r>
      <w:r w:rsidRPr="005206CA">
        <w:t xml:space="preserve">, around </w:t>
      </w:r>
      <w:r w:rsidR="001C72D3" w:rsidRPr="005206CA">
        <w:t>63</w:t>
      </w:r>
      <w:r w:rsidRPr="005206CA">
        <w:t xml:space="preserve"> Mt CO</w:t>
      </w:r>
      <w:r w:rsidRPr="005206CA">
        <w:rPr>
          <w:vertAlign w:val="subscript"/>
        </w:rPr>
        <w:t>2</w:t>
      </w:r>
      <w:r w:rsidRPr="005206CA">
        <w:t>-e was traded on the international voluntary carbon market including by ICROA members</w:t>
      </w:r>
      <w:r w:rsidR="001C72D3" w:rsidRPr="005206CA">
        <w:t xml:space="preserve"> (</w:t>
      </w:r>
      <w:r w:rsidR="001C72D3" w:rsidRPr="005206CA">
        <w:rPr>
          <w:rStyle w:val="In-textChar"/>
        </w:rPr>
        <w:t>Ecosystem Marketplace 2017</w:t>
      </w:r>
      <w:r w:rsidR="001C72D3" w:rsidRPr="005206CA">
        <w:t>)</w:t>
      </w:r>
      <w:r w:rsidRPr="005206CA">
        <w:t xml:space="preserve">. While small, demand could increase over time if </w:t>
      </w:r>
      <w:r w:rsidR="000E6D13">
        <w:t xml:space="preserve">more </w:t>
      </w:r>
      <w:r w:rsidRPr="005206CA">
        <w:t>companies</w:t>
      </w:r>
      <w:r w:rsidRPr="005206CA" w:rsidDel="007C0511">
        <w:t xml:space="preserve"> </w:t>
      </w:r>
      <w:r w:rsidRPr="005206CA">
        <w:t>strive to meet social corporate responsibility goals.</w:t>
      </w:r>
    </w:p>
    <w:p w14:paraId="44AD85AA" w14:textId="089607B4" w:rsidR="000F74F1" w:rsidRPr="005206CA" w:rsidRDefault="000F74F1" w:rsidP="000F74F1">
      <w:r w:rsidRPr="005206CA">
        <w:t>Allowing for the export of ACCUs could increase the price of ACCUs and provide increased opportunities for Australian ERF scheme participants. A</w:t>
      </w:r>
      <w:r w:rsidR="00046C36" w:rsidRPr="005206CA">
        <w:t xml:space="preserve">rnhem </w:t>
      </w:r>
      <w:r w:rsidRPr="005206CA">
        <w:t>L</w:t>
      </w:r>
      <w:r w:rsidR="00046C36" w:rsidRPr="005206CA">
        <w:t xml:space="preserve">and </w:t>
      </w:r>
      <w:r w:rsidRPr="005206CA">
        <w:t>F</w:t>
      </w:r>
      <w:r w:rsidR="00046C36" w:rsidRPr="005206CA">
        <w:t xml:space="preserve">ire </w:t>
      </w:r>
      <w:r w:rsidRPr="005206CA">
        <w:t>A</w:t>
      </w:r>
      <w:r w:rsidR="00046C36" w:rsidRPr="005206CA">
        <w:t>batement</w:t>
      </w:r>
      <w:r w:rsidRPr="005206CA">
        <w:t xml:space="preserve">, </w:t>
      </w:r>
      <w:r w:rsidR="00046C36" w:rsidRPr="005206CA">
        <w:t xml:space="preserve">the </w:t>
      </w:r>
      <w:r w:rsidRPr="005206CA">
        <w:t>C</w:t>
      </w:r>
      <w:r w:rsidR="00046C36" w:rsidRPr="005206CA">
        <w:t xml:space="preserve">arbon </w:t>
      </w:r>
      <w:r w:rsidRPr="005206CA">
        <w:t>M</w:t>
      </w:r>
      <w:r w:rsidR="00046C36" w:rsidRPr="005206CA">
        <w:t xml:space="preserve">arket </w:t>
      </w:r>
      <w:r w:rsidRPr="005206CA">
        <w:t>I</w:t>
      </w:r>
      <w:r w:rsidR="00046C36" w:rsidRPr="005206CA">
        <w:t>nstitute</w:t>
      </w:r>
      <w:r w:rsidRPr="005206CA">
        <w:t xml:space="preserve"> and Energetics highlighted the increased opportunities that exporting ACCUs could provide for </w:t>
      </w:r>
      <w:r w:rsidR="006517B3">
        <w:t>scheme</w:t>
      </w:r>
      <w:r w:rsidR="006517B3" w:rsidRPr="005206CA">
        <w:t xml:space="preserve"> </w:t>
      </w:r>
      <w:r w:rsidRPr="005206CA">
        <w:t xml:space="preserve">participants in their submissions </w:t>
      </w:r>
      <w:r w:rsidR="009E1BB5" w:rsidRPr="005206CA">
        <w:t>on</w:t>
      </w:r>
      <w:r w:rsidRPr="005206CA">
        <w:t xml:space="preserve"> this review and the 2017 review. The Authority is of the view that allowing the export of ACCUs is also likely to increase the cost of compliance with Australian policies including safeguard obligations</w:t>
      </w:r>
      <w:r w:rsidR="001C72D3" w:rsidRPr="005206CA">
        <w:t>,</w:t>
      </w:r>
      <w:r w:rsidRPr="005206CA">
        <w:t xml:space="preserve"> make-good provisions under the ERF</w:t>
      </w:r>
      <w:r w:rsidR="001C72D3" w:rsidRPr="005206CA">
        <w:t xml:space="preserve"> and possibly the National Energy Guarantee</w:t>
      </w:r>
      <w:r w:rsidRPr="005206CA">
        <w:t>. As a result, exports of ACCUs should not be allowed at this stage.</w:t>
      </w:r>
    </w:p>
    <w:p w14:paraId="4FEDA80B" w14:textId="43B3AF88" w:rsidR="000F74F1" w:rsidRPr="005206CA" w:rsidRDefault="000F74F1" w:rsidP="000F74F1">
      <w:r w:rsidRPr="005206CA">
        <w:t>Increased prices for ACCUs on the secondary market may also lead to an increased risk of non-delivery under ERF contracts as scheme participants may be able to sell their ACCUs at a higher price than under</w:t>
      </w:r>
      <w:r w:rsidRPr="005206CA" w:rsidDel="000E6D13">
        <w:t xml:space="preserve"> </w:t>
      </w:r>
      <w:r w:rsidR="000E6D13">
        <w:t>their</w:t>
      </w:r>
      <w:r w:rsidR="000E6D13" w:rsidRPr="005206CA">
        <w:t xml:space="preserve"> </w:t>
      </w:r>
      <w:r w:rsidRPr="005206CA">
        <w:t>ERF contract. This risk is likely to be material only if the price of ACCUs becomes more than twice the price under the ERF contract due to the design of market damages under the ERF contract</w:t>
      </w:r>
      <w:r w:rsidR="000E6D13">
        <w:t xml:space="preserve"> (Section </w:t>
      </w:r>
      <w:r w:rsidR="00A606B4">
        <w:fldChar w:fldCharType="begin"/>
      </w:r>
      <w:r w:rsidR="00A606B4">
        <w:instrText xml:space="preserve"> REF _Ref500490230 \n \h </w:instrText>
      </w:r>
      <w:r w:rsidR="00A606B4">
        <w:fldChar w:fldCharType="separate"/>
      </w:r>
      <w:r w:rsidR="00FA2002">
        <w:t>10.4.3</w:t>
      </w:r>
      <w:r w:rsidR="00A606B4">
        <w:fldChar w:fldCharType="end"/>
      </w:r>
      <w:r w:rsidR="000E6D13">
        <w:t>)</w:t>
      </w:r>
      <w:r w:rsidRPr="005206CA">
        <w:t xml:space="preserve">. </w:t>
      </w:r>
    </w:p>
    <w:p w14:paraId="6B548D4D" w14:textId="5F61D80F" w:rsidR="000F74F1" w:rsidRPr="005206CA" w:rsidRDefault="003F2F59">
      <w:pPr>
        <w:pStyle w:val="Heading2"/>
      </w:pPr>
      <w:bookmarkStart w:id="1661" w:name="_Toc497819524"/>
      <w:bookmarkStart w:id="1662" w:name="_Toc498691593"/>
      <w:bookmarkStart w:id="1663" w:name="_Toc499043772"/>
      <w:bookmarkStart w:id="1664" w:name="_Toc499051797"/>
      <w:bookmarkStart w:id="1665" w:name="_Toc500251150"/>
      <w:bookmarkStart w:id="1666" w:name="_Toc500251425"/>
      <w:bookmarkStart w:id="1667" w:name="_Toc500254022"/>
      <w:bookmarkStart w:id="1668" w:name="_Toc500401529"/>
      <w:bookmarkStart w:id="1669" w:name="_Toc500491017"/>
      <w:bookmarkStart w:id="1670" w:name="_Toc500512954"/>
      <w:bookmarkStart w:id="1671" w:name="_Toc500514214"/>
      <w:bookmarkStart w:id="1672" w:name="_Toc500516266"/>
      <w:r w:rsidRPr="005206CA">
        <w:t>Us</w:t>
      </w:r>
      <w:r w:rsidR="006F4344" w:rsidRPr="005206CA">
        <w:t xml:space="preserve">e of international units for </w:t>
      </w:r>
      <w:r w:rsidR="00126DF6">
        <w:t>Emissions Reduction Fund</w:t>
      </w:r>
      <w:r w:rsidRPr="005206CA">
        <w:t xml:space="preserve"> compliance</w:t>
      </w:r>
      <w:bookmarkEnd w:id="1661"/>
      <w:bookmarkEnd w:id="1662"/>
      <w:bookmarkEnd w:id="1663"/>
      <w:bookmarkEnd w:id="1664"/>
      <w:bookmarkEnd w:id="1665"/>
      <w:bookmarkEnd w:id="1666"/>
      <w:bookmarkEnd w:id="1667"/>
      <w:bookmarkEnd w:id="1668"/>
      <w:bookmarkEnd w:id="1669"/>
      <w:bookmarkEnd w:id="1670"/>
      <w:bookmarkEnd w:id="1671"/>
      <w:bookmarkEnd w:id="1672"/>
    </w:p>
    <w:p w14:paraId="25BDC4FA" w14:textId="0C43BD54" w:rsidR="000F74F1" w:rsidRPr="005206CA" w:rsidRDefault="000F74F1" w:rsidP="000F74F1">
      <w:r w:rsidRPr="005206CA">
        <w:t>The ERF White Paper states that the ERF was intended to incentivise domestic emissions reductions and international units cannot be surrendered to meet contractual obligations under the ERF. This restriction aims to direct ERF funds towards Australian emission</w:t>
      </w:r>
      <w:r w:rsidR="00C11A32" w:rsidRPr="005206CA">
        <w:t>s</w:t>
      </w:r>
      <w:r w:rsidRPr="005206CA">
        <w:t xml:space="preserve"> reductions, improve the productivity of Australian businesses and support the domestic carbon market (</w:t>
      </w:r>
      <w:r w:rsidRPr="005206CA">
        <w:rPr>
          <w:rStyle w:val="In-textChar"/>
        </w:rPr>
        <w:t>Australian Government 2014</w:t>
      </w:r>
      <w:r w:rsidRPr="005206CA">
        <w:t>).</w:t>
      </w:r>
    </w:p>
    <w:p w14:paraId="7C3A63FD" w14:textId="034F31A8" w:rsidR="000F74F1" w:rsidRPr="005206CA" w:rsidRDefault="000F74F1" w:rsidP="000F74F1">
      <w:r w:rsidRPr="005206CA">
        <w:t xml:space="preserve">In the current market, some international units are significantly cheaper than ACCUs. For example, Certified Emission Reductions that meet </w:t>
      </w:r>
      <w:r w:rsidR="00046C36" w:rsidRPr="005206CA">
        <w:t xml:space="preserve">the </w:t>
      </w:r>
      <w:r w:rsidRPr="005206CA">
        <w:t>E</w:t>
      </w:r>
      <w:r w:rsidR="00046C36" w:rsidRPr="005206CA">
        <w:t xml:space="preserve">uropean </w:t>
      </w:r>
      <w:r w:rsidRPr="005206CA">
        <w:t>U</w:t>
      </w:r>
      <w:r w:rsidR="00046C36" w:rsidRPr="005206CA">
        <w:t>nion</w:t>
      </w:r>
      <w:r w:rsidRPr="005206CA">
        <w:t xml:space="preserve"> E</w:t>
      </w:r>
      <w:r w:rsidR="00046C36" w:rsidRPr="005206CA">
        <w:t xml:space="preserve">missions </w:t>
      </w:r>
      <w:r w:rsidRPr="005206CA">
        <w:t>T</w:t>
      </w:r>
      <w:r w:rsidR="00046C36" w:rsidRPr="005206CA">
        <w:t xml:space="preserve">rading </w:t>
      </w:r>
      <w:r w:rsidRPr="005206CA">
        <w:t>S</w:t>
      </w:r>
      <w:r w:rsidR="00046C36" w:rsidRPr="005206CA">
        <w:t>ystem</w:t>
      </w:r>
      <w:r w:rsidRPr="005206CA">
        <w:t xml:space="preserve"> eligibility criteria trade at below </w:t>
      </w:r>
      <w:r w:rsidR="001C72D3" w:rsidRPr="005206CA">
        <w:t>A</w:t>
      </w:r>
      <w:r w:rsidRPr="005206CA">
        <w:t>$0.50/t</w:t>
      </w:r>
      <w:r w:rsidR="005E3B33" w:rsidRPr="005E3B33">
        <w:rPr>
          <w:rStyle w:val="In-textChar"/>
        </w:rPr>
        <w:t xml:space="preserve"> </w:t>
      </w:r>
      <w:r w:rsidR="005E3B33">
        <w:rPr>
          <w:rStyle w:val="In-textChar"/>
        </w:rPr>
        <w:t>(</w:t>
      </w:r>
      <w:r w:rsidR="005E3B33" w:rsidRPr="005206CA">
        <w:rPr>
          <w:rStyle w:val="In-textChar"/>
        </w:rPr>
        <w:t>InterContinental Exchange 2017</w:t>
      </w:r>
      <w:r w:rsidR="005E3B33">
        <w:rPr>
          <w:rStyle w:val="In-textChar"/>
        </w:rPr>
        <w:t>a)</w:t>
      </w:r>
      <w:r w:rsidRPr="005206CA">
        <w:t>. However, units in other countries’ emissions trading schemes trade at similar or higher prices than the average price (</w:t>
      </w:r>
      <w:r w:rsidR="001C72D3" w:rsidRPr="005206CA">
        <w:t>A</w:t>
      </w:r>
      <w:r w:rsidRPr="005206CA">
        <w:t>$11.83) paid for ACCUs at auction</w:t>
      </w:r>
      <w:r w:rsidR="001C72D3" w:rsidRPr="005206CA">
        <w:t xml:space="preserve"> (</w:t>
      </w:r>
      <w:r w:rsidR="001C72D3" w:rsidRPr="005206CA">
        <w:rPr>
          <w:rStyle w:val="In-textChar"/>
        </w:rPr>
        <w:t xml:space="preserve">CER </w:t>
      </w:r>
      <w:r w:rsidR="00B4754E" w:rsidRPr="005206CA">
        <w:rPr>
          <w:rStyle w:val="In-textChar"/>
        </w:rPr>
        <w:t>2017k</w:t>
      </w:r>
      <w:r w:rsidR="001C72D3" w:rsidRPr="005206CA">
        <w:t>)</w:t>
      </w:r>
      <w:r w:rsidRPr="005206CA">
        <w:t xml:space="preserve">. For example, European Union Allowances are around </w:t>
      </w:r>
      <w:r w:rsidR="001C72D3" w:rsidRPr="005206CA">
        <w:t>A</w:t>
      </w:r>
      <w:r w:rsidRPr="005206CA">
        <w:t xml:space="preserve">$11.40/t </w:t>
      </w:r>
      <w:r w:rsidR="001C72D3" w:rsidRPr="005206CA">
        <w:t>(</w:t>
      </w:r>
      <w:r w:rsidR="001C72D3" w:rsidRPr="005206CA">
        <w:rPr>
          <w:rStyle w:val="In-textChar"/>
        </w:rPr>
        <w:t>InterContinental Exchange</w:t>
      </w:r>
      <w:r w:rsidR="00C26ECE" w:rsidRPr="005206CA">
        <w:rPr>
          <w:rStyle w:val="In-textChar"/>
        </w:rPr>
        <w:t xml:space="preserve"> 2017</w:t>
      </w:r>
      <w:r w:rsidR="005E3B33">
        <w:rPr>
          <w:rStyle w:val="In-textChar"/>
        </w:rPr>
        <w:t>b</w:t>
      </w:r>
      <w:r w:rsidR="001C72D3" w:rsidRPr="005206CA">
        <w:t xml:space="preserve">) </w:t>
      </w:r>
      <w:r w:rsidRPr="005206CA">
        <w:t>and South Korean E</w:t>
      </w:r>
      <w:r w:rsidR="00046C36" w:rsidRPr="005206CA">
        <w:t xml:space="preserve">missions </w:t>
      </w:r>
      <w:r w:rsidRPr="005206CA">
        <w:t>T</w:t>
      </w:r>
      <w:r w:rsidR="00046C36" w:rsidRPr="005206CA">
        <w:t xml:space="preserve">rading </w:t>
      </w:r>
      <w:r w:rsidRPr="005206CA">
        <w:t>S</w:t>
      </w:r>
      <w:r w:rsidR="00046C36" w:rsidRPr="005206CA">
        <w:t>cheme</w:t>
      </w:r>
      <w:r w:rsidRPr="005206CA">
        <w:t xml:space="preserve"> units trade at over </w:t>
      </w:r>
      <w:r w:rsidR="001C72D3" w:rsidRPr="005206CA">
        <w:t>A</w:t>
      </w:r>
      <w:r w:rsidRPr="005206CA">
        <w:t>$20/t (</w:t>
      </w:r>
      <w:r w:rsidR="001C72D3" w:rsidRPr="005206CA">
        <w:rPr>
          <w:rStyle w:val="In-textChar"/>
        </w:rPr>
        <w:t>KRX</w:t>
      </w:r>
      <w:r w:rsidR="00C26ECE" w:rsidRPr="005206CA">
        <w:rPr>
          <w:rStyle w:val="In-textChar"/>
        </w:rPr>
        <w:t xml:space="preserve"> 2017</w:t>
      </w:r>
      <w:r w:rsidRPr="005206CA">
        <w:t xml:space="preserve">). </w:t>
      </w:r>
    </w:p>
    <w:p w14:paraId="0AE22264" w14:textId="4BFD5B7B" w:rsidR="000F74F1" w:rsidRPr="005206CA" w:rsidRDefault="000F74F1" w:rsidP="00E55312">
      <w:r w:rsidRPr="005206CA">
        <w:t>The current availability of lower cost international units means that allowing for the use of international units to satisfy ERF contractual or safeguard obligations would likely see a significant decline in the use of ACCUs and a decline in Australian based offset projects. This could reduce the extent and pace of structural change in the Australian economy towards low emissions production. The risks of delaying domestic emission</w:t>
      </w:r>
      <w:r w:rsidR="00C11A32" w:rsidRPr="005206CA">
        <w:t>s</w:t>
      </w:r>
      <w:r w:rsidRPr="005206CA">
        <w:t xml:space="preserve"> reductions was highlighted by AGL in their </w:t>
      </w:r>
      <w:r w:rsidR="007E5547" w:rsidRPr="005206CA">
        <w:t>submission on</w:t>
      </w:r>
      <w:r w:rsidRPr="005206CA">
        <w:t xml:space="preserve"> this review:</w:t>
      </w:r>
      <w:r w:rsidR="00AD4AD5" w:rsidRPr="005206CA">
        <w:rPr>
          <w:i/>
        </w:rPr>
        <w:t xml:space="preserve"> </w:t>
      </w:r>
      <w:r w:rsidR="00AD4AD5" w:rsidRPr="005206CA">
        <w:t>‘</w:t>
      </w:r>
      <w:r w:rsidRPr="005206CA">
        <w:t>a reliance on international carbon markets could effectively defer Australia’s own decarbonisation</w:t>
      </w:r>
      <w:r w:rsidR="007D03CE" w:rsidRPr="005206CA">
        <w:t>,</w:t>
      </w:r>
      <w:r w:rsidRPr="005206CA">
        <w:t xml:space="preserve"> exposing the economy to greater structural shock in the future should “deep cuts” be required domestically</w:t>
      </w:r>
      <w:r w:rsidR="00AD4AD5" w:rsidRPr="005206CA">
        <w:t xml:space="preserve">’ (p. 4). </w:t>
      </w:r>
    </w:p>
    <w:p w14:paraId="204E023D" w14:textId="77777777" w:rsidR="000F74F1" w:rsidRPr="005206CA" w:rsidRDefault="000F74F1" w:rsidP="000F74F1">
      <w:r w:rsidRPr="005206CA">
        <w:t>Allowing ERF obligations to be met using international units could also lead to a windfall gain to ERF scheme participants who could substitute cheaper international units for ACCUs and still meet ERF contract delivery obligations.</w:t>
      </w:r>
    </w:p>
    <w:p w14:paraId="6BB8A291" w14:textId="77777777" w:rsidR="003F2F59" w:rsidRPr="005206CA" w:rsidRDefault="000F74F1" w:rsidP="003F2F59">
      <w:r w:rsidRPr="005206CA">
        <w:t xml:space="preserve">The Authority is of the view that allowing international units to be used to meet ERF contractual obligations </w:t>
      </w:r>
      <w:r w:rsidR="00E827D8" w:rsidRPr="005206CA">
        <w:t xml:space="preserve">or allowing for the export of ACCUs </w:t>
      </w:r>
      <w:r w:rsidRPr="005206CA">
        <w:t>is not in line with the policy intent of the scheme.</w:t>
      </w:r>
      <w:r w:rsidR="00E827D8" w:rsidRPr="005206CA">
        <w:t xml:space="preserve"> </w:t>
      </w:r>
    </w:p>
    <w:p w14:paraId="5F0AB825" w14:textId="49824A87" w:rsidR="008C1871" w:rsidRPr="005206CA" w:rsidRDefault="000F74F1" w:rsidP="00AC7279">
      <w:r w:rsidRPr="005206CA">
        <w:t xml:space="preserve">In its </w:t>
      </w:r>
      <w:r w:rsidRPr="005206CA">
        <w:rPr>
          <w:i/>
        </w:rPr>
        <w:t>2016 Special Review</w:t>
      </w:r>
      <w:r w:rsidRPr="005206CA">
        <w:t xml:space="preserve">, the Authority recommended that coverage of the safeguard mechanism be expanded to more facilities and that the safeguard benchmarks be tightened over time. In that context the Authority also recommended that robust </w:t>
      </w:r>
      <w:r w:rsidR="001B083C" w:rsidRPr="005206CA">
        <w:t xml:space="preserve">and genuine </w:t>
      </w:r>
      <w:r w:rsidRPr="005206CA">
        <w:t>international units could be used for compliance with enhanced safeguard obligations to address international competitiveness concerns</w:t>
      </w:r>
      <w:r w:rsidR="001C72D3" w:rsidRPr="005206CA">
        <w:t xml:space="preserve"> (</w:t>
      </w:r>
      <w:r w:rsidR="001C72D3" w:rsidRPr="005206CA">
        <w:rPr>
          <w:rStyle w:val="In-textChar"/>
        </w:rPr>
        <w:t>CCA 2016</w:t>
      </w:r>
      <w:r w:rsidR="001C72D3" w:rsidRPr="005206CA">
        <w:t>)</w:t>
      </w:r>
      <w:r w:rsidRPr="005206CA">
        <w:t xml:space="preserve">. The Government is considering the safeguard mechanism in its current 2017 review </w:t>
      </w:r>
      <w:r w:rsidR="001C72D3" w:rsidRPr="005206CA">
        <w:t>(</w:t>
      </w:r>
      <w:r w:rsidR="001C72D3" w:rsidRPr="005206CA">
        <w:rPr>
          <w:rStyle w:val="In-textChar"/>
        </w:rPr>
        <w:t xml:space="preserve">DoEE </w:t>
      </w:r>
      <w:r w:rsidR="002E705C" w:rsidRPr="005206CA">
        <w:rPr>
          <w:rStyle w:val="In-textChar"/>
        </w:rPr>
        <w:t>2016</w:t>
      </w:r>
      <w:r w:rsidR="003A33E5" w:rsidRPr="005206CA">
        <w:rPr>
          <w:rStyle w:val="In-textChar"/>
        </w:rPr>
        <w:t>c</w:t>
      </w:r>
      <w:r w:rsidR="001C72D3" w:rsidRPr="005206CA">
        <w:t>)</w:t>
      </w:r>
      <w:r w:rsidRPr="005206CA">
        <w:t>. The Authority will consider the safeguard mechanism and the role of international permits for it in its review of the N</w:t>
      </w:r>
      <w:r w:rsidR="00046C36" w:rsidRPr="005206CA">
        <w:t xml:space="preserve">ational </w:t>
      </w:r>
      <w:r w:rsidRPr="005206CA">
        <w:t>G</w:t>
      </w:r>
      <w:r w:rsidR="00046C36" w:rsidRPr="005206CA">
        <w:t xml:space="preserve">reenhouse and </w:t>
      </w:r>
      <w:r w:rsidRPr="005206CA">
        <w:t>E</w:t>
      </w:r>
      <w:r w:rsidR="00046C36" w:rsidRPr="005206CA">
        <w:t xml:space="preserve">nergy </w:t>
      </w:r>
      <w:r w:rsidRPr="005206CA">
        <w:t>R</w:t>
      </w:r>
      <w:r w:rsidR="00046C36" w:rsidRPr="005206CA">
        <w:t>eporting</w:t>
      </w:r>
      <w:r w:rsidRPr="005206CA">
        <w:t xml:space="preserve"> legislation in 2018.</w:t>
      </w:r>
    </w:p>
    <w:p w14:paraId="3947399C" w14:textId="52A059B4" w:rsidR="000F74F1" w:rsidRPr="005206CA" w:rsidRDefault="003F2F59">
      <w:pPr>
        <w:pStyle w:val="Heading2"/>
      </w:pPr>
      <w:bookmarkStart w:id="1673" w:name="_Toc498690883"/>
      <w:bookmarkStart w:id="1674" w:name="_Toc498692244"/>
      <w:bookmarkStart w:id="1675" w:name="_Toc497819525"/>
      <w:bookmarkStart w:id="1676" w:name="_Toc498691594"/>
      <w:bookmarkStart w:id="1677" w:name="_Toc499043773"/>
      <w:bookmarkStart w:id="1678" w:name="_Toc499051798"/>
      <w:bookmarkStart w:id="1679" w:name="_Toc500251151"/>
      <w:bookmarkStart w:id="1680" w:name="_Toc500251426"/>
      <w:bookmarkStart w:id="1681" w:name="_Toc500254023"/>
      <w:bookmarkStart w:id="1682" w:name="_Toc500401530"/>
      <w:bookmarkStart w:id="1683" w:name="_Toc500491018"/>
      <w:bookmarkStart w:id="1684" w:name="_Toc500512955"/>
      <w:bookmarkStart w:id="1685" w:name="_Toc500514215"/>
      <w:bookmarkStart w:id="1686" w:name="_Toc500516267"/>
      <w:bookmarkEnd w:id="1673"/>
      <w:bookmarkEnd w:id="1674"/>
      <w:r w:rsidRPr="005206CA">
        <w:t>Linking schemes in the future</w:t>
      </w:r>
      <w:bookmarkEnd w:id="1675"/>
      <w:bookmarkEnd w:id="1676"/>
      <w:bookmarkEnd w:id="1677"/>
      <w:bookmarkEnd w:id="1678"/>
      <w:bookmarkEnd w:id="1679"/>
      <w:bookmarkEnd w:id="1680"/>
      <w:bookmarkEnd w:id="1681"/>
      <w:bookmarkEnd w:id="1682"/>
      <w:bookmarkEnd w:id="1683"/>
      <w:bookmarkEnd w:id="1684"/>
      <w:bookmarkEnd w:id="1685"/>
      <w:bookmarkEnd w:id="1686"/>
    </w:p>
    <w:p w14:paraId="6C3F8DC3" w14:textId="33FE113E" w:rsidR="000F74F1" w:rsidRPr="005206CA" w:rsidRDefault="000F74F1" w:rsidP="00E55312">
      <w:r w:rsidRPr="005206CA">
        <w:t>Ne</w:t>
      </w:r>
      <w:r w:rsidR="007D03CE" w:rsidRPr="005206CA">
        <w:t>w opportunities to export ACCUs</w:t>
      </w:r>
      <w:r w:rsidRPr="005206CA">
        <w:t xml:space="preserve"> or link Australia’s domestic emissions reduction policies to schemes in other countries may arise in the future. Future policy linkages may represent opportunities</w:t>
      </w:r>
      <w:r w:rsidR="007D03CE" w:rsidRPr="005206CA">
        <w:t xml:space="preserve"> to lower the cost of abatement</w:t>
      </w:r>
      <w:r w:rsidRPr="005206CA">
        <w:t xml:space="preserve"> or generate a new source of export revenue for Australian offset providers. For ACCUs to supply these markets</w:t>
      </w:r>
      <w:r w:rsidR="007D03CE" w:rsidRPr="005206CA">
        <w:t>,</w:t>
      </w:r>
      <w:r w:rsidRPr="005206CA">
        <w:t xml:space="preserve"> the integrity or quality of ACCUs must meet the requirements of the foreign markets. This should be considered when making any changes to the way ACCUs are generated to ensure any opportunities for linking in the future are not compromised. In their </w:t>
      </w:r>
      <w:r w:rsidR="007E5547" w:rsidRPr="005206CA">
        <w:t>submission on</w:t>
      </w:r>
      <w:r w:rsidRPr="005206CA">
        <w:t xml:space="preserve"> the 2017 review, GreenCollar stated that</w:t>
      </w:r>
      <w:r w:rsidR="00AD4AD5" w:rsidRPr="005206CA">
        <w:rPr>
          <w:i/>
        </w:rPr>
        <w:t xml:space="preserve"> </w:t>
      </w:r>
      <w:r w:rsidR="00AD4AD5" w:rsidRPr="005206CA">
        <w:t>‘</w:t>
      </w:r>
      <w:r w:rsidRPr="005206CA">
        <w:t>Where linking and export of ACCUs is considered, the review should explore how methods developed under the ERF can be aligned with international standards and other carbon offset markets</w:t>
      </w:r>
      <w:r w:rsidR="00AD4AD5" w:rsidRPr="005206CA">
        <w:t xml:space="preserve">’ (p. 13). </w:t>
      </w:r>
    </w:p>
    <w:p w14:paraId="5D2E5412" w14:textId="01FDD748" w:rsidR="000F74F1" w:rsidRPr="005206CA" w:rsidRDefault="000F74F1" w:rsidP="000F74F1">
      <w:r w:rsidRPr="005206CA">
        <w:t xml:space="preserve">Climate Friendly </w:t>
      </w:r>
      <w:r w:rsidR="001C72D3" w:rsidRPr="005206CA">
        <w:t>(in their submission on this review)</w:t>
      </w:r>
      <w:r w:rsidRPr="005206CA">
        <w:t xml:space="preserve"> also said that ‘[to] ensure that ACCUs are eligible for future international markets, it is critical that methods are reviewed in the context of evolving international accounting rules and </w:t>
      </w:r>
      <w:r w:rsidR="0096770F">
        <w:t>[</w:t>
      </w:r>
      <w:r w:rsidR="0096770F">
        <w:rPr>
          <w:rFonts w:cs="Arial"/>
          <w:color w:val="222222"/>
        </w:rPr>
        <w:t>Intergovernmental Panel on Climate Change]</w:t>
      </w:r>
      <w:r w:rsidR="0096770F" w:rsidRPr="005206CA">
        <w:t xml:space="preserve"> </w:t>
      </w:r>
      <w:r w:rsidRPr="005206CA">
        <w:t>guidance’</w:t>
      </w:r>
      <w:r w:rsidR="00AD4AD5" w:rsidRPr="005206CA">
        <w:t xml:space="preserve"> (p. 10)</w:t>
      </w:r>
      <w:r w:rsidRPr="005206CA">
        <w:t xml:space="preserve">. </w:t>
      </w:r>
    </w:p>
    <w:p w14:paraId="555C1579" w14:textId="40840592" w:rsidR="000F74F1" w:rsidRPr="0038754B" w:rsidRDefault="000F74F1" w:rsidP="000F74F1">
      <w:r w:rsidRPr="005206CA">
        <w:t xml:space="preserve">The Authority agrees with these submissions and notes that the Department seeks to ensure that the estimation of </w:t>
      </w:r>
      <w:r w:rsidR="00C11A32" w:rsidRPr="005206CA">
        <w:t>emissions reductions</w:t>
      </w:r>
      <w:r w:rsidRPr="005206CA">
        <w:t xml:space="preserve"> from ERF projects aligns with evolving U</w:t>
      </w:r>
      <w:r w:rsidR="00046C36" w:rsidRPr="005206CA">
        <w:t xml:space="preserve">nited </w:t>
      </w:r>
      <w:r w:rsidRPr="005206CA">
        <w:t>N</w:t>
      </w:r>
      <w:r w:rsidR="00046C36" w:rsidRPr="005206CA">
        <w:t xml:space="preserve">ations </w:t>
      </w:r>
      <w:r w:rsidRPr="005206CA">
        <w:t>F</w:t>
      </w:r>
      <w:r w:rsidR="00046C36" w:rsidRPr="005206CA">
        <w:t xml:space="preserve">ramework </w:t>
      </w:r>
      <w:r w:rsidRPr="005206CA">
        <w:t>C</w:t>
      </w:r>
      <w:r w:rsidR="00046C36" w:rsidRPr="005206CA">
        <w:t xml:space="preserve">onvention on </w:t>
      </w:r>
      <w:r w:rsidRPr="005206CA">
        <w:t>C</w:t>
      </w:r>
      <w:r w:rsidR="00046C36" w:rsidRPr="005206CA">
        <w:t xml:space="preserve">limate </w:t>
      </w:r>
      <w:r w:rsidRPr="005206CA">
        <w:t>C</w:t>
      </w:r>
      <w:r w:rsidR="00046C36" w:rsidRPr="005206CA">
        <w:t xml:space="preserve">hange </w:t>
      </w:r>
      <w:r w:rsidRPr="0038754B">
        <w:t xml:space="preserve">and </w:t>
      </w:r>
      <w:r w:rsidR="007A59F9">
        <w:rPr>
          <w:rFonts w:cs="Arial"/>
          <w:color w:val="222222"/>
        </w:rPr>
        <w:t xml:space="preserve">Intergovernmental Panel on Climate Change </w:t>
      </w:r>
      <w:r w:rsidRPr="0038754B">
        <w:t>guidance</w:t>
      </w:r>
      <w:r w:rsidR="00856BFD">
        <w:t xml:space="preserve"> (</w:t>
      </w:r>
      <w:r w:rsidR="00856BFD" w:rsidRPr="00AC7279">
        <w:rPr>
          <w:rStyle w:val="In-textChar"/>
        </w:rPr>
        <w:t>Australian Government 2014, DoEE 2017f</w:t>
      </w:r>
      <w:r w:rsidR="001C72D3" w:rsidRPr="0038754B">
        <w:t>)</w:t>
      </w:r>
      <w:r w:rsidRPr="0038754B">
        <w:t>.</w:t>
      </w:r>
    </w:p>
    <w:p w14:paraId="48B0A21E" w14:textId="2160313A" w:rsidR="000F74F1" w:rsidRPr="0038754B" w:rsidRDefault="000F74F1" w:rsidP="000F74F1">
      <w:r w:rsidRPr="0038754B">
        <w:t xml:space="preserve">International units was one of the issues identified for consideration in the 2017 review </w:t>
      </w:r>
      <w:r w:rsidR="001C72D3" w:rsidRPr="0038754B">
        <w:t>(</w:t>
      </w:r>
      <w:r w:rsidR="001C72D3" w:rsidRPr="00E55312">
        <w:rPr>
          <w:rStyle w:val="In-textChar"/>
        </w:rPr>
        <w:t xml:space="preserve">DoEE </w:t>
      </w:r>
      <w:r w:rsidR="002E705C" w:rsidRPr="000E6D13">
        <w:rPr>
          <w:rStyle w:val="In-textChar"/>
        </w:rPr>
        <w:t>2016b</w:t>
      </w:r>
      <w:r w:rsidR="001C72D3" w:rsidRPr="00392484">
        <w:t>)</w:t>
      </w:r>
      <w:r w:rsidRPr="00392484">
        <w:t xml:space="preserve">. </w:t>
      </w:r>
      <w:r w:rsidR="003E1AA8" w:rsidRPr="00C46FD5">
        <w:t>The rules for</w:t>
      </w:r>
      <w:r w:rsidR="003E1AA8" w:rsidRPr="00F25FE3">
        <w:t xml:space="preserve"> </w:t>
      </w:r>
      <w:r w:rsidR="003E1AA8">
        <w:t>a</w:t>
      </w:r>
      <w:r w:rsidRPr="0038754B">
        <w:t xml:space="preserve"> new mechanism, which may allow international linking of domestic emissions reductions is under negotiation for the Paris Agreement.</w:t>
      </w:r>
    </w:p>
    <w:p w14:paraId="3B48269A" w14:textId="7C47FE57" w:rsidR="00590755" w:rsidRPr="0038754B" w:rsidRDefault="00590755">
      <w:pPr>
        <w:pStyle w:val="Heading1"/>
        <w:numPr>
          <w:ilvl w:val="0"/>
          <w:numId w:val="44"/>
        </w:numPr>
      </w:pPr>
      <w:bookmarkStart w:id="1687" w:name="_Toc497819526"/>
      <w:bookmarkStart w:id="1688" w:name="_Toc498691595"/>
      <w:bookmarkStart w:id="1689" w:name="_Toc499043774"/>
      <w:bookmarkStart w:id="1690" w:name="_Toc499051799"/>
      <w:bookmarkStart w:id="1691" w:name="_Ref500244815"/>
      <w:bookmarkStart w:id="1692" w:name="_Ref500248620"/>
      <w:bookmarkStart w:id="1693" w:name="_Ref500248625"/>
      <w:bookmarkStart w:id="1694" w:name="_Toc500251152"/>
      <w:bookmarkStart w:id="1695" w:name="_Toc500251427"/>
      <w:bookmarkStart w:id="1696" w:name="_Toc500254024"/>
      <w:bookmarkStart w:id="1697" w:name="_Toc500401531"/>
      <w:bookmarkStart w:id="1698" w:name="_Toc500491019"/>
      <w:bookmarkStart w:id="1699" w:name="_Toc500512956"/>
      <w:bookmarkStart w:id="1700" w:name="_Toc500514216"/>
      <w:bookmarkStart w:id="1701" w:name="_Toc500516268"/>
      <w:r w:rsidRPr="0038754B">
        <w:t>The future of the E</w:t>
      </w:r>
      <w:r w:rsidR="00E109D3">
        <w:t xml:space="preserve">missions </w:t>
      </w:r>
      <w:r w:rsidRPr="0038754B">
        <w:t>R</w:t>
      </w:r>
      <w:r w:rsidR="00E109D3">
        <w:t xml:space="preserve">eduction </w:t>
      </w:r>
      <w:r w:rsidRPr="0038754B">
        <w:t>F</w:t>
      </w:r>
      <w:bookmarkEnd w:id="1687"/>
      <w:bookmarkEnd w:id="1688"/>
      <w:bookmarkEnd w:id="1689"/>
      <w:bookmarkEnd w:id="1690"/>
      <w:r w:rsidR="00E109D3">
        <w:t>und</w:t>
      </w:r>
      <w:bookmarkEnd w:id="1691"/>
      <w:bookmarkEnd w:id="1692"/>
      <w:bookmarkEnd w:id="1693"/>
      <w:bookmarkEnd w:id="1694"/>
      <w:bookmarkEnd w:id="1695"/>
      <w:bookmarkEnd w:id="1696"/>
      <w:bookmarkEnd w:id="1697"/>
      <w:bookmarkEnd w:id="1698"/>
      <w:bookmarkEnd w:id="1699"/>
      <w:bookmarkEnd w:id="1700"/>
      <w:bookmarkEnd w:id="1701"/>
    </w:p>
    <w:p w14:paraId="59FDA348" w14:textId="3221F169" w:rsidR="00A53C41" w:rsidRPr="0038754B" w:rsidRDefault="00A53C41" w:rsidP="00A53C41">
      <w:r w:rsidRPr="0038754B">
        <w:t>The Authority considered the role that the E</w:t>
      </w:r>
      <w:r w:rsidR="00E109D3">
        <w:t xml:space="preserve">missions </w:t>
      </w:r>
      <w:r w:rsidRPr="0038754B">
        <w:t>R</w:t>
      </w:r>
      <w:r w:rsidR="00E109D3">
        <w:t xml:space="preserve">eduction </w:t>
      </w:r>
      <w:r w:rsidRPr="0038754B">
        <w:t>F</w:t>
      </w:r>
      <w:r w:rsidR="00E109D3">
        <w:t>und (ERF)</w:t>
      </w:r>
      <w:r w:rsidRPr="0038754B">
        <w:t xml:space="preserve"> could play in meeting Australia’s Paris Agreement </w:t>
      </w:r>
      <w:r w:rsidRPr="0038754B" w:rsidDel="0096770F">
        <w:t xml:space="preserve">obligations </w:t>
      </w:r>
      <w:r w:rsidRPr="0038754B">
        <w:t xml:space="preserve">as part of its report </w:t>
      </w:r>
      <w:r w:rsidRPr="00E55312">
        <w:rPr>
          <w:i/>
        </w:rPr>
        <w:t>Towards a Climate Policy Toolkit: Special Review on Australia’s climate goals and policies</w:t>
      </w:r>
      <w:r w:rsidRPr="0038754B">
        <w:t xml:space="preserve"> (</w:t>
      </w:r>
      <w:r w:rsidRPr="00E55312">
        <w:rPr>
          <w:rStyle w:val="In-textChar"/>
        </w:rPr>
        <w:t>CCA 2016</w:t>
      </w:r>
      <w:r w:rsidRPr="0038754B">
        <w:t xml:space="preserve">). The Authority is of the view that its </w:t>
      </w:r>
      <w:r w:rsidRPr="00E55312">
        <w:rPr>
          <w:i/>
        </w:rPr>
        <w:t xml:space="preserve">2016 </w:t>
      </w:r>
      <w:r w:rsidR="009E1BB5" w:rsidRPr="00E55312">
        <w:rPr>
          <w:i/>
        </w:rPr>
        <w:t>S</w:t>
      </w:r>
      <w:r w:rsidRPr="00E55312">
        <w:rPr>
          <w:i/>
        </w:rPr>
        <w:t xml:space="preserve">pecial </w:t>
      </w:r>
      <w:r w:rsidR="009E1BB5" w:rsidRPr="00E55312">
        <w:rPr>
          <w:i/>
        </w:rPr>
        <w:t>R</w:t>
      </w:r>
      <w:r w:rsidRPr="00E55312">
        <w:rPr>
          <w:i/>
        </w:rPr>
        <w:t>eview</w:t>
      </w:r>
      <w:r w:rsidRPr="0038754B">
        <w:t xml:space="preserve"> recommendations for the ERF remain current.</w:t>
      </w:r>
    </w:p>
    <w:p w14:paraId="726DE9FA" w14:textId="53A64C47" w:rsidR="006B0D8C" w:rsidRPr="0038754B" w:rsidRDefault="00A53C41" w:rsidP="00A53C41">
      <w:r w:rsidRPr="0038754B">
        <w:t>To recap, the Authority recommended that ERF crediting and purchasing continue until other</w:t>
      </w:r>
      <w:r w:rsidR="007D03CE" w:rsidRPr="0038754B">
        <w:t xml:space="preserve"> policies (such as a C</w:t>
      </w:r>
      <w:r w:rsidR="00E109D3">
        <w:t xml:space="preserve">lean </w:t>
      </w:r>
      <w:r w:rsidR="007D03CE" w:rsidRPr="0038754B">
        <w:t>E</w:t>
      </w:r>
      <w:r w:rsidR="00E109D3">
        <w:t xml:space="preserve">nergy </w:t>
      </w:r>
      <w:r w:rsidR="007D03CE" w:rsidRPr="0038754B">
        <w:t>T</w:t>
      </w:r>
      <w:r w:rsidR="00E109D3">
        <w:t>arget</w:t>
      </w:r>
      <w:r w:rsidR="007A59F9">
        <w:rPr>
          <w:rStyle w:val="FootnoteReference"/>
        </w:rPr>
        <w:footnoteReference w:id="11"/>
      </w:r>
      <w:r w:rsidR="00EB3581" w:rsidRPr="0038754B">
        <w:t xml:space="preserve"> </w:t>
      </w:r>
      <w:r w:rsidR="007D03CE" w:rsidRPr="0038754B">
        <w:t>or E</w:t>
      </w:r>
      <w:r w:rsidR="00E109D3">
        <w:t xml:space="preserve">missions </w:t>
      </w:r>
      <w:r w:rsidR="007D03CE" w:rsidRPr="0038754B">
        <w:t>I</w:t>
      </w:r>
      <w:r w:rsidR="00E109D3">
        <w:t xml:space="preserve">ntensity </w:t>
      </w:r>
      <w:r w:rsidR="007D03CE" w:rsidRPr="0038754B">
        <w:t>S</w:t>
      </w:r>
      <w:r w:rsidR="00E109D3">
        <w:t>cheme</w:t>
      </w:r>
      <w:r w:rsidRPr="0038754B">
        <w:t>, a national energy efficiency savings scheme, an expanded safeguard mechanism, vehicle emissions standards and regulation for landfill waste and synthetic gases) are put in place. The Authority envisages an ongoing role for offsets in the land sector, using a continuation of ERF crediting, as a complement to other policy measures the Authority recommended for the tool kit.</w:t>
      </w:r>
    </w:p>
    <w:p w14:paraId="7DB62071" w14:textId="3EBA3E70" w:rsidR="00A53C41" w:rsidRPr="0038754B" w:rsidRDefault="00A53C41" w:rsidP="00A53C41">
      <w:r w:rsidRPr="0038754B">
        <w:t>The broader climate policy context has changed</w:t>
      </w:r>
      <w:r w:rsidR="007D03CE" w:rsidRPr="0038754B">
        <w:t>,</w:t>
      </w:r>
      <w:r w:rsidRPr="0038754B">
        <w:t xml:space="preserve"> however</w:t>
      </w:r>
      <w:r w:rsidR="007D03CE" w:rsidRPr="0038754B">
        <w:t>,</w:t>
      </w:r>
      <w:r w:rsidRPr="0038754B">
        <w:t xml:space="preserve"> in relation to the energy generation sector. Since the completion of the </w:t>
      </w:r>
      <w:r w:rsidRPr="00E55312">
        <w:rPr>
          <w:i/>
        </w:rPr>
        <w:t>2016 Special Review</w:t>
      </w:r>
      <w:r w:rsidRPr="0038754B">
        <w:t xml:space="preserve"> and the Authority’s 2017 joint review with the A</w:t>
      </w:r>
      <w:r w:rsidR="009C3F77">
        <w:t xml:space="preserve">ustralian </w:t>
      </w:r>
      <w:r w:rsidRPr="0038754B">
        <w:t>E</w:t>
      </w:r>
      <w:r w:rsidR="009C3F77">
        <w:t xml:space="preserve">nergy </w:t>
      </w:r>
      <w:r w:rsidRPr="0038754B">
        <w:t>M</w:t>
      </w:r>
      <w:r w:rsidR="009C3F77">
        <w:t xml:space="preserve">arket </w:t>
      </w:r>
      <w:r w:rsidRPr="0038754B">
        <w:t>C</w:t>
      </w:r>
      <w:r w:rsidR="009C3F77">
        <w:t>ommission</w:t>
      </w:r>
      <w:r w:rsidR="00EB3581" w:rsidRPr="0038754B">
        <w:t xml:space="preserve"> (</w:t>
      </w:r>
      <w:r w:rsidR="007A59F9" w:rsidRPr="001E5F21" w:rsidDel="00CD11C3">
        <w:rPr>
          <w:rStyle w:val="In-textChar"/>
        </w:rPr>
        <w:t>AEMC</w:t>
      </w:r>
      <w:r w:rsidR="007A59F9" w:rsidDel="00CD11C3">
        <w:rPr>
          <w:rStyle w:val="In-textChar"/>
        </w:rPr>
        <w:t xml:space="preserve"> &amp; </w:t>
      </w:r>
      <w:r w:rsidR="00EB3581" w:rsidRPr="00E55312">
        <w:rPr>
          <w:rStyle w:val="In-textChar"/>
        </w:rPr>
        <w:t>CCA</w:t>
      </w:r>
      <w:r w:rsidR="00CD11C3">
        <w:rPr>
          <w:rStyle w:val="In-textChar"/>
        </w:rPr>
        <w:t xml:space="preserve"> </w:t>
      </w:r>
      <w:r w:rsidR="00EB3581" w:rsidRPr="00E55312">
        <w:rPr>
          <w:rStyle w:val="In-textChar"/>
        </w:rPr>
        <w:t>2017</w:t>
      </w:r>
      <w:r w:rsidR="00EB3581" w:rsidRPr="0038754B">
        <w:t>)</w:t>
      </w:r>
      <w:r w:rsidRPr="0038754B">
        <w:t>, the Government has announced its National Energy Guarantee, which will require energy retailers to meet both reliability and emissions standards</w:t>
      </w:r>
      <w:r w:rsidR="00EB3581" w:rsidRPr="0038754B">
        <w:t xml:space="preserve"> (</w:t>
      </w:r>
      <w:r w:rsidR="00EB3581" w:rsidRPr="00E55312">
        <w:rPr>
          <w:rStyle w:val="In-textChar"/>
        </w:rPr>
        <w:t>DoEE 2017</w:t>
      </w:r>
      <w:r w:rsidR="00F84772">
        <w:rPr>
          <w:rStyle w:val="In-textChar"/>
        </w:rPr>
        <w:t>a</w:t>
      </w:r>
      <w:r w:rsidR="00EB3581" w:rsidRPr="0038754B">
        <w:t>)</w:t>
      </w:r>
      <w:r w:rsidRPr="0038754B">
        <w:t>. The announcement of the Guarantee was welcomed by many in business and more broadly as a way of securing investment certainty for the energy generation sector and providing secure and reliable energy while reducing emissions</w:t>
      </w:r>
      <w:r w:rsidR="009E29C4">
        <w:t xml:space="preserve"> (</w:t>
      </w:r>
      <w:r w:rsidR="009E29C4" w:rsidRPr="005E3B33">
        <w:rPr>
          <w:rStyle w:val="In-textChar"/>
        </w:rPr>
        <w:t>Morgan &amp; Janda 2017</w:t>
      </w:r>
      <w:r w:rsidR="009E29C4">
        <w:t>)</w:t>
      </w:r>
      <w:r w:rsidRPr="0038754B">
        <w:t>.</w:t>
      </w:r>
    </w:p>
    <w:p w14:paraId="4F077C5F" w14:textId="77777777" w:rsidR="00A53C41" w:rsidRPr="0038754B" w:rsidRDefault="00A53C41">
      <w:pPr>
        <w:pStyle w:val="Heading2"/>
      </w:pPr>
      <w:bookmarkStart w:id="1702" w:name="_Toc497819527"/>
      <w:bookmarkStart w:id="1703" w:name="_Toc498691596"/>
      <w:bookmarkStart w:id="1704" w:name="_Toc499043775"/>
      <w:bookmarkStart w:id="1705" w:name="_Toc499051800"/>
      <w:bookmarkStart w:id="1706" w:name="_Toc500251153"/>
      <w:bookmarkStart w:id="1707" w:name="_Toc500251428"/>
      <w:bookmarkStart w:id="1708" w:name="_Toc500254025"/>
      <w:bookmarkStart w:id="1709" w:name="_Toc500401532"/>
      <w:bookmarkStart w:id="1710" w:name="_Toc500491020"/>
      <w:bookmarkStart w:id="1711" w:name="_Toc500512957"/>
      <w:bookmarkStart w:id="1712" w:name="_Toc500514217"/>
      <w:bookmarkStart w:id="1713" w:name="_Toc500516269"/>
      <w:r w:rsidRPr="0038754B">
        <w:t>A dynamic policy environment</w:t>
      </w:r>
      <w:bookmarkEnd w:id="1702"/>
      <w:bookmarkEnd w:id="1703"/>
      <w:bookmarkEnd w:id="1704"/>
      <w:bookmarkEnd w:id="1705"/>
      <w:bookmarkEnd w:id="1706"/>
      <w:bookmarkEnd w:id="1707"/>
      <w:bookmarkEnd w:id="1708"/>
      <w:bookmarkEnd w:id="1709"/>
      <w:bookmarkEnd w:id="1710"/>
      <w:bookmarkEnd w:id="1711"/>
      <w:bookmarkEnd w:id="1712"/>
      <w:bookmarkEnd w:id="1713"/>
    </w:p>
    <w:p w14:paraId="6D3B22F3" w14:textId="110F75D2" w:rsidR="00A53C41" w:rsidRPr="0038754B" w:rsidRDefault="00A53C41" w:rsidP="00A53C41">
      <w:r w:rsidRPr="0038754B">
        <w:t xml:space="preserve">The </w:t>
      </w:r>
      <w:r w:rsidR="00741FEA" w:rsidRPr="0038754B">
        <w:t>Guarantee</w:t>
      </w:r>
      <w:r w:rsidRPr="0002132E">
        <w:t xml:space="preserve"> policy framework is fairly high level, however, with much detail still to be fille</w:t>
      </w:r>
      <w:r w:rsidRPr="0038754B">
        <w:t xml:space="preserve">d in through further policy design and consultation. It would be premature for the Authority to offer much commentary on the </w:t>
      </w:r>
      <w:r w:rsidR="00741FEA" w:rsidRPr="0038754B">
        <w:t xml:space="preserve">Guarantee </w:t>
      </w:r>
      <w:r w:rsidRPr="0038754B">
        <w:t xml:space="preserve">at this stage. That said, the Authority remains strongly of the view that there is a pressing need for investment certainty in the energy sector and the </w:t>
      </w:r>
      <w:r w:rsidR="00741FEA" w:rsidRPr="0038754B">
        <w:t xml:space="preserve">Guarantee </w:t>
      </w:r>
      <w:r w:rsidRPr="0038754B">
        <w:t xml:space="preserve">offers a viable pathway towards this goal. </w:t>
      </w:r>
    </w:p>
    <w:p w14:paraId="10B8A756" w14:textId="7290CDA6" w:rsidR="00A53C41" w:rsidRPr="0038754B" w:rsidRDefault="00A53C41" w:rsidP="00A53C41">
      <w:r w:rsidRPr="0038754B">
        <w:t xml:space="preserve">Government decision making on measures for other sectors (including those covered by the ERF) is being informed by its 2017 review, </w:t>
      </w:r>
      <w:r w:rsidR="006517B3">
        <w:t xml:space="preserve">the outcomes of </w:t>
      </w:r>
      <w:r w:rsidRPr="0038754B">
        <w:t>which had not been announced at the time this report was being finalised</w:t>
      </w:r>
      <w:r w:rsidR="00EB3581" w:rsidRPr="0038754B">
        <w:t xml:space="preserve"> (</w:t>
      </w:r>
      <w:r w:rsidR="00EB3581" w:rsidRPr="00E55312">
        <w:rPr>
          <w:rStyle w:val="In-textChar"/>
        </w:rPr>
        <w:t xml:space="preserve">DoEE </w:t>
      </w:r>
      <w:r w:rsidR="00917F93">
        <w:rPr>
          <w:rStyle w:val="In-textChar"/>
        </w:rPr>
        <w:t>2016c</w:t>
      </w:r>
      <w:r w:rsidR="00EB3581" w:rsidRPr="0038754B">
        <w:t>)</w:t>
      </w:r>
      <w:r w:rsidRPr="0038754B">
        <w:t xml:space="preserve">. </w:t>
      </w:r>
    </w:p>
    <w:p w14:paraId="16F846D1" w14:textId="15FD847A" w:rsidR="00A53C41" w:rsidRPr="0038754B" w:rsidRDefault="00A53C41" w:rsidP="00A53C41">
      <w:r w:rsidRPr="0038754B">
        <w:t xml:space="preserve">Given the uncertainty about the policy suite the Government will use to meet its Paris </w:t>
      </w:r>
      <w:r w:rsidR="00565491">
        <w:t xml:space="preserve">Agreement </w:t>
      </w:r>
      <w:r w:rsidR="00392484" w:rsidDel="0096770F">
        <w:t xml:space="preserve">emissions reductions </w:t>
      </w:r>
      <w:r w:rsidRPr="0038754B" w:rsidDel="0096770F">
        <w:t>goals</w:t>
      </w:r>
      <w:r w:rsidRPr="0038754B">
        <w:t xml:space="preserve">, it is difficult to be definitive about how the ERF should transition to whatever comes next. </w:t>
      </w:r>
    </w:p>
    <w:p w14:paraId="4DC178B9" w14:textId="6204E11C" w:rsidR="00A53C41" w:rsidRPr="0038754B" w:rsidRDefault="00A53C41" w:rsidP="00A53C41">
      <w:r w:rsidRPr="0038754B">
        <w:t xml:space="preserve">In the remainder of this chapter, the Authority offers some observations to help guide decision makers chart a course </w:t>
      </w:r>
      <w:r w:rsidR="00392484">
        <w:t>so</w:t>
      </w:r>
      <w:r w:rsidR="00392484" w:rsidRPr="0038754B">
        <w:t xml:space="preserve"> </w:t>
      </w:r>
      <w:r w:rsidRPr="0038754B">
        <w:t xml:space="preserve">the ERF </w:t>
      </w:r>
      <w:r w:rsidR="00392484">
        <w:t>can</w:t>
      </w:r>
      <w:r w:rsidR="00392484" w:rsidRPr="0038754B">
        <w:t xml:space="preserve"> </w:t>
      </w:r>
      <w:r w:rsidRPr="0038754B">
        <w:t>play its part in the future climate policy set.</w:t>
      </w:r>
    </w:p>
    <w:p w14:paraId="12411EE9" w14:textId="77777777" w:rsidR="00A53C41" w:rsidRPr="0038754B" w:rsidRDefault="00A53C41" w:rsidP="00BA3BB8">
      <w:pPr>
        <w:pStyle w:val="Heading2"/>
      </w:pPr>
      <w:bookmarkStart w:id="1714" w:name="_Toc497819528"/>
      <w:bookmarkStart w:id="1715" w:name="_Toc498691597"/>
      <w:bookmarkStart w:id="1716" w:name="_Toc499043776"/>
      <w:bookmarkStart w:id="1717" w:name="_Toc499051801"/>
      <w:bookmarkStart w:id="1718" w:name="_Ref500244745"/>
      <w:bookmarkStart w:id="1719" w:name="_Toc500251154"/>
      <w:bookmarkStart w:id="1720" w:name="_Toc500251429"/>
      <w:bookmarkStart w:id="1721" w:name="_Toc500254026"/>
      <w:bookmarkStart w:id="1722" w:name="_Toc500401533"/>
      <w:bookmarkStart w:id="1723" w:name="_Toc500491021"/>
      <w:bookmarkStart w:id="1724" w:name="_Toc500512958"/>
      <w:bookmarkStart w:id="1725" w:name="_Toc500514218"/>
      <w:bookmarkStart w:id="1726" w:name="_Toc500516270"/>
      <w:r w:rsidRPr="0038754B">
        <w:t>Offsets for the land</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674B91FB" w14:textId="7C55C82E" w:rsidR="00A53C41" w:rsidRPr="0038754B" w:rsidRDefault="00A53C41" w:rsidP="00A53C41">
      <w:r w:rsidRPr="0038754B">
        <w:t xml:space="preserve">As noted above, the Authority found in its </w:t>
      </w:r>
      <w:r w:rsidR="009E1BB5" w:rsidRPr="00E55312">
        <w:rPr>
          <w:i/>
        </w:rPr>
        <w:t>2016 S</w:t>
      </w:r>
      <w:r w:rsidRPr="00E55312">
        <w:rPr>
          <w:i/>
        </w:rPr>
        <w:t xml:space="preserve">pecial </w:t>
      </w:r>
      <w:r w:rsidR="009E1BB5" w:rsidRPr="00E55312">
        <w:rPr>
          <w:i/>
        </w:rPr>
        <w:t>R</w:t>
      </w:r>
      <w:r w:rsidRPr="00E55312">
        <w:rPr>
          <w:i/>
        </w:rPr>
        <w:t>eview</w:t>
      </w:r>
      <w:r w:rsidRPr="0038754B">
        <w:t xml:space="preserve"> that offsets are well suited to the land sector and that the crediting arm of the ERF should continue to serve this purpose.</w:t>
      </w:r>
    </w:p>
    <w:p w14:paraId="592C3302" w14:textId="080834FB" w:rsidR="00A53C41" w:rsidRPr="0038754B" w:rsidRDefault="00A53C41" w:rsidP="00A53C41">
      <w:r w:rsidRPr="0038754B">
        <w:t xml:space="preserve">Some stakeholders agree with this proposition. In their </w:t>
      </w:r>
      <w:r w:rsidR="007E5547" w:rsidRPr="0038754B">
        <w:t>submission on</w:t>
      </w:r>
      <w:r w:rsidRPr="0038754B">
        <w:t xml:space="preserve"> the 2017 </w:t>
      </w:r>
      <w:r w:rsidR="002874CD">
        <w:t>r</w:t>
      </w:r>
      <w:r w:rsidRPr="0038754B">
        <w:t>eview, the N</w:t>
      </w:r>
      <w:r w:rsidR="009C3F77">
        <w:t xml:space="preserve">ational </w:t>
      </w:r>
      <w:r w:rsidRPr="0038754B">
        <w:t>F</w:t>
      </w:r>
      <w:r w:rsidR="009C3F77">
        <w:t xml:space="preserve">armers’ </w:t>
      </w:r>
      <w:r w:rsidRPr="0038754B">
        <w:t>F</w:t>
      </w:r>
      <w:r w:rsidR="009C3F77">
        <w:t>ederation (NFF)</w:t>
      </w:r>
      <w:r w:rsidRPr="0038754B">
        <w:t xml:space="preserve"> said that the land sector should continue to be covered by an offsets scheme. </w:t>
      </w:r>
    </w:p>
    <w:p w14:paraId="0FADB1FD" w14:textId="3DE53735" w:rsidR="00A53C41" w:rsidRPr="0038754B" w:rsidRDefault="00A53C41" w:rsidP="00A53C41">
      <w:r w:rsidRPr="0038754B">
        <w:t>Farmers for Climate Action stressed ‘the need for</w:t>
      </w:r>
      <w:r w:rsidR="00EB3581" w:rsidRPr="0038754B">
        <w:t>…</w:t>
      </w:r>
      <w:r w:rsidRPr="0038754B">
        <w:t xml:space="preserve"> a multi-sector emissions reduction approach’ and supported the participation of the land sector through the ERF with ‘long term certainty and [some recalibration of ERF policy settings] to encourage farmers to participate’ </w:t>
      </w:r>
      <w:r w:rsidR="00EB3581" w:rsidRPr="0038754B">
        <w:t>(submission on this review</w:t>
      </w:r>
      <w:r w:rsidR="00AD4AD5">
        <w:t>, pp. 1-2</w:t>
      </w:r>
      <w:r w:rsidR="00EB3581" w:rsidRPr="0038754B">
        <w:t>).</w:t>
      </w:r>
    </w:p>
    <w:p w14:paraId="1591FDB8" w14:textId="77777777" w:rsidR="006559F6" w:rsidRPr="0038754B" w:rsidRDefault="00A53C41" w:rsidP="004D7245">
      <w:r w:rsidRPr="0038754B">
        <w:t>Recent international research demonstrates the important role that the land sector can play in reducing emissions. It is estimated that improved stewardship of the land (including conservation, restoration, and improved land management across global wetlands, agricultural lands and grasslands) can deliver 37 per cent of cost effective mitigation needed globally by 2030 to hold warming to below 2°C. In addition to reducing emissions, these actions will also generate co-benefits (</w:t>
      </w:r>
      <w:r w:rsidRPr="00E55312">
        <w:rPr>
          <w:rStyle w:val="In-textChar"/>
        </w:rPr>
        <w:t>Griscom et al. 2017</w:t>
      </w:r>
      <w:r w:rsidRPr="0038754B">
        <w:t>).</w:t>
      </w:r>
      <w:r w:rsidR="006559F6" w:rsidRPr="0038754B">
        <w:t xml:space="preserve"> </w:t>
      </w:r>
    </w:p>
    <w:p w14:paraId="1CBF4846" w14:textId="0FF940ED" w:rsidR="006559F6" w:rsidRPr="0038754B" w:rsidRDefault="006559F6" w:rsidP="004D7245">
      <w:r w:rsidRPr="0038754B">
        <w:t xml:space="preserve">CSIRO modelling indicates that the technical potential for carbon storage in the land sector </w:t>
      </w:r>
      <w:r w:rsidR="006517B3">
        <w:t xml:space="preserve">in Australia </w:t>
      </w:r>
      <w:r w:rsidRPr="0038754B">
        <w:t>through new plantings and regeneration could be substantial—up to 513 Mt CO</w:t>
      </w:r>
      <w:r w:rsidRPr="0038754B">
        <w:rPr>
          <w:vertAlign w:val="subscript"/>
        </w:rPr>
        <w:t>2</w:t>
      </w:r>
      <w:r w:rsidRPr="0038754B">
        <w:t>-e per year between 2031 and 2050 (</w:t>
      </w:r>
      <w:r w:rsidRPr="00E55312">
        <w:rPr>
          <w:rStyle w:val="In-textChar"/>
        </w:rPr>
        <w:t>Bryan et al. 2015</w:t>
      </w:r>
      <w:r w:rsidRPr="0038754B">
        <w:t>). This would, however, require an unprecedented level of revegetation of agricultural land. The extent to which this potential is likely to be realised also depends on a range of factors including future carbon prices, availability of water, agricultural commodity prices and any impacts on regional communities.</w:t>
      </w:r>
    </w:p>
    <w:p w14:paraId="71446365" w14:textId="66549143" w:rsidR="00A53C41" w:rsidRPr="0038754B" w:rsidRDefault="00A53C41" w:rsidP="00A53C41">
      <w:r w:rsidRPr="0038754B">
        <w:t xml:space="preserve">A number of stakeholders have pointed to the need for more research and development </w:t>
      </w:r>
      <w:r w:rsidR="00917F93">
        <w:t xml:space="preserve">(R&amp;D) </w:t>
      </w:r>
      <w:r w:rsidRPr="0038754B">
        <w:t xml:space="preserve">funding for land based offsets so that further abatement opportunities can be realised. In its </w:t>
      </w:r>
      <w:r w:rsidR="007E5547" w:rsidRPr="0038754B">
        <w:t>submission on</w:t>
      </w:r>
      <w:r w:rsidRPr="0038754B">
        <w:t xml:space="preserve"> </w:t>
      </w:r>
      <w:r w:rsidR="0001584E">
        <w:t>this</w:t>
      </w:r>
      <w:r w:rsidR="007D03CE" w:rsidRPr="0038754B">
        <w:t xml:space="preserve"> review, the C</w:t>
      </w:r>
      <w:r w:rsidR="009C3F77">
        <w:t xml:space="preserve">arbon </w:t>
      </w:r>
      <w:r w:rsidR="007D03CE" w:rsidRPr="0038754B">
        <w:t>M</w:t>
      </w:r>
      <w:r w:rsidR="009C3F77">
        <w:t xml:space="preserve">arket </w:t>
      </w:r>
      <w:r w:rsidR="007D03CE" w:rsidRPr="0038754B">
        <w:t>I</w:t>
      </w:r>
      <w:r w:rsidR="009C3F77">
        <w:t>nstitute</w:t>
      </w:r>
      <w:r w:rsidR="007D03CE" w:rsidRPr="0038754B">
        <w:t xml:space="preserve"> </w:t>
      </w:r>
      <w:r w:rsidR="009C3F77">
        <w:t xml:space="preserve">(CMI) </w:t>
      </w:r>
      <w:r w:rsidR="007D03CE" w:rsidRPr="0038754B">
        <w:t>said ‘</w:t>
      </w:r>
      <w:r w:rsidRPr="0038754B">
        <w:t xml:space="preserve">The Government should commit </w:t>
      </w:r>
      <w:r w:rsidR="0001584E">
        <w:t xml:space="preserve">to </w:t>
      </w:r>
      <w:r w:rsidRPr="0038754B">
        <w:t>an allocation of more R&amp;D funding for ERF method development so that Australia can optimise inves</w:t>
      </w:r>
      <w:r w:rsidR="007D03CE" w:rsidRPr="0038754B">
        <w:t>tment in land sector abatement</w:t>
      </w:r>
      <w:r w:rsidR="0001584E">
        <w:t>’</w:t>
      </w:r>
      <w:r w:rsidR="00AD4AD5">
        <w:t xml:space="preserve"> (p. 5)</w:t>
      </w:r>
      <w:r w:rsidR="0001584E">
        <w:t>.</w:t>
      </w:r>
      <w:r w:rsidRPr="0038754B">
        <w:t xml:space="preserve"> The NFF also said more incentives were needed. A recent report </w:t>
      </w:r>
      <w:r w:rsidR="00250193" w:rsidRPr="0038754B">
        <w:t>to</w:t>
      </w:r>
      <w:r w:rsidRPr="0038754B">
        <w:t xml:space="preserve"> the Queensland Government pointed to the need for new methods to cover woodland restoration, mangrove protection and restoration and f</w:t>
      </w:r>
      <w:r w:rsidR="007D03CE" w:rsidRPr="0038754B">
        <w:t>ertiliser use in sugar cane (</w:t>
      </w:r>
      <w:r w:rsidR="00E74198" w:rsidRPr="00AC7279">
        <w:rPr>
          <w:rStyle w:val="In-textChar"/>
        </w:rPr>
        <w:t xml:space="preserve">EHP </w:t>
      </w:r>
      <w:r w:rsidR="007D03CE" w:rsidRPr="00AC7279">
        <w:rPr>
          <w:rStyle w:val="In-textChar"/>
        </w:rPr>
        <w:t>2017</w:t>
      </w:r>
      <w:r w:rsidRPr="0038754B">
        <w:t xml:space="preserve">). </w:t>
      </w:r>
      <w:r w:rsidR="00A32805">
        <w:t>Meat and Livestock Australia</w:t>
      </w:r>
      <w:r w:rsidRPr="0038754B">
        <w:t xml:space="preserve"> has identified reducing methane emissions from livesto</w:t>
      </w:r>
      <w:r w:rsidR="00486A9D" w:rsidRPr="0038754B">
        <w:t>ck as an area for R&amp;D activity</w:t>
      </w:r>
      <w:r w:rsidR="00740F95">
        <w:t xml:space="preserve"> (</w:t>
      </w:r>
      <w:r w:rsidR="00740F95" w:rsidRPr="00740F95">
        <w:rPr>
          <w:rStyle w:val="In-textChar"/>
        </w:rPr>
        <w:t>MLA 2017</w:t>
      </w:r>
      <w:r w:rsidR="00740F95">
        <w:t>)</w:t>
      </w:r>
      <w:r w:rsidR="00486A9D" w:rsidRPr="0038754B">
        <w:t>.</w:t>
      </w:r>
    </w:p>
    <w:p w14:paraId="67A5FBD8" w14:textId="1614F884" w:rsidR="00A53C41" w:rsidRPr="0038754B" w:rsidRDefault="00A53C41" w:rsidP="00A53C41">
      <w:r w:rsidRPr="0038754B">
        <w:t xml:space="preserve">The Authority is of the view that opportunities remain to reduce emissions from the agriculture and land sector, and that additional R&amp;D is required on the science and estimation techniques needed to support new methods and for development of the methods themselves, using the approach to prioritisation outlined in </w:t>
      </w:r>
      <w:r w:rsidR="00486A9D" w:rsidRPr="00AC7279">
        <w:rPr>
          <w:rStyle w:val="SectionChapterChar"/>
        </w:rPr>
        <w:t xml:space="preserve">Section </w:t>
      </w:r>
      <w:r w:rsidR="0001584E">
        <w:rPr>
          <w:rStyle w:val="SectionChapterChar"/>
        </w:rPr>
        <w:fldChar w:fldCharType="begin"/>
      </w:r>
      <w:r w:rsidR="0001584E">
        <w:rPr>
          <w:rStyle w:val="SectionChapterChar"/>
        </w:rPr>
        <w:instrText xml:space="preserve"> REF _Ref500248789 \w \h </w:instrText>
      </w:r>
      <w:r w:rsidR="0001584E">
        <w:rPr>
          <w:rStyle w:val="SectionChapterChar"/>
        </w:rPr>
      </w:r>
      <w:r w:rsidR="0001584E">
        <w:rPr>
          <w:rStyle w:val="SectionChapterChar"/>
        </w:rPr>
        <w:fldChar w:fldCharType="separate"/>
      </w:r>
      <w:r w:rsidR="00FA2002">
        <w:rPr>
          <w:rStyle w:val="SectionChapterChar"/>
        </w:rPr>
        <w:t>3.6</w:t>
      </w:r>
      <w:r w:rsidR="0001584E">
        <w:rPr>
          <w:rStyle w:val="SectionChapterChar"/>
        </w:rPr>
        <w:fldChar w:fldCharType="end"/>
      </w:r>
      <w:r w:rsidRPr="0038754B">
        <w:t xml:space="preserve">. </w:t>
      </w:r>
      <w:r w:rsidR="00421C81">
        <w:t xml:space="preserve">In addition, the Authority recommends that rural R&amp;D corporations (which are responsible for a significant amount of agriculture related R&amp;D) prioritise research on reducing emissions from agriculture in their work programs.  </w:t>
      </w:r>
    </w:p>
    <w:tbl>
      <w:tblPr>
        <w:tblStyle w:val="TableGrid"/>
        <w:tblW w:w="0" w:type="auto"/>
        <w:shd w:val="clear" w:color="auto" w:fill="E6ECF2"/>
        <w:tblLook w:val="04A0" w:firstRow="1" w:lastRow="0" w:firstColumn="1" w:lastColumn="0" w:noHBand="0" w:noVBand="1"/>
      </w:tblPr>
      <w:tblGrid>
        <w:gridCol w:w="9202"/>
      </w:tblGrid>
      <w:tr w:rsidR="00A53C41" w:rsidRPr="0038754B" w14:paraId="6668D78B" w14:textId="77777777" w:rsidTr="00A53C41">
        <w:trPr>
          <w:cnfStyle w:val="100000000000" w:firstRow="1" w:lastRow="0" w:firstColumn="0" w:lastColumn="0" w:oddVBand="0" w:evenVBand="0" w:oddHBand="0" w:evenHBand="0" w:firstRowFirstColumn="0" w:firstRowLastColumn="0" w:lastRowFirstColumn="0" w:lastRowLastColumn="0"/>
        </w:trPr>
        <w:tc>
          <w:tcPr>
            <w:tcW w:w="9202"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hideMark/>
          </w:tcPr>
          <w:p w14:paraId="65BB8BDF" w14:textId="77777777" w:rsidR="00A53C41" w:rsidRPr="0038754B" w:rsidRDefault="00A53C41" w:rsidP="00A53C41">
            <w:pPr>
              <w:rPr>
                <w:rFonts w:cs="Arial"/>
                <w:b/>
                <w:color w:val="159DCE"/>
                <w:sz w:val="18"/>
                <w:szCs w:val="18"/>
              </w:rPr>
            </w:pPr>
            <w:r w:rsidRPr="0038754B">
              <w:rPr>
                <w:rFonts w:cs="Arial"/>
                <w:b/>
                <w:color w:val="159DCE"/>
                <w:sz w:val="18"/>
                <w:szCs w:val="18"/>
              </w:rPr>
              <w:t>RECOMMENDATION</w:t>
            </w:r>
          </w:p>
          <w:p w14:paraId="66F1D442" w14:textId="4947B634" w:rsidR="00A53C41" w:rsidRPr="007A6BE0" w:rsidRDefault="00A53C41" w:rsidP="005F7AEC">
            <w:pPr>
              <w:spacing w:after="140" w:line="320" w:lineRule="exact"/>
              <w:ind w:left="851" w:hanging="851"/>
              <w:rPr>
                <w:rFonts w:cs="Arial"/>
                <w:color w:val="414141"/>
                <w:sz w:val="18"/>
                <w:szCs w:val="18"/>
              </w:rPr>
            </w:pPr>
            <w:bookmarkStart w:id="1727" w:name="_Ref497828341"/>
            <w:bookmarkStart w:id="1728" w:name="_Toc498534537"/>
            <w:bookmarkStart w:id="1729" w:name="_Toc497827461"/>
            <w:bookmarkStart w:id="1730" w:name="_Toc497834097"/>
            <w:bookmarkStart w:id="1731" w:name="_Toc498614732"/>
            <w:bookmarkStart w:id="1732" w:name="_Toc498691487"/>
            <w:bookmarkStart w:id="1733" w:name="_Toc499051686"/>
            <w:bookmarkStart w:id="1734" w:name="_Toc499202071"/>
            <w:bookmarkStart w:id="1735" w:name="_Toc499892355"/>
            <w:bookmarkStart w:id="1736" w:name="_Toc499898716"/>
            <w:bookmarkStart w:id="1737" w:name="_Toc499899356"/>
            <w:r w:rsidRPr="007A6BE0">
              <w:rPr>
                <w:rFonts w:cs="Arial"/>
                <w:sz w:val="18"/>
                <w:szCs w:val="18"/>
              </w:rPr>
              <w:t xml:space="preserve">R. </w:t>
            </w:r>
            <w:r w:rsidRPr="007A6BE0">
              <w:rPr>
                <w:sz w:val="18"/>
                <w:szCs w:val="18"/>
              </w:rPr>
              <w:fldChar w:fldCharType="begin"/>
            </w:r>
            <w:r w:rsidRPr="007A6BE0">
              <w:rPr>
                <w:rFonts w:cs="Arial"/>
                <w:sz w:val="18"/>
                <w:szCs w:val="18"/>
              </w:rPr>
              <w:instrText xml:space="preserve"> SEQ R. \* ARABIC </w:instrText>
            </w:r>
            <w:r w:rsidRPr="007A6BE0">
              <w:rPr>
                <w:sz w:val="18"/>
                <w:szCs w:val="18"/>
              </w:rPr>
              <w:fldChar w:fldCharType="separate"/>
            </w:r>
            <w:r w:rsidR="00FA2002">
              <w:rPr>
                <w:rFonts w:cs="Arial"/>
                <w:noProof/>
                <w:sz w:val="18"/>
                <w:szCs w:val="18"/>
              </w:rPr>
              <w:t>26</w:t>
            </w:r>
            <w:r w:rsidRPr="007A6BE0">
              <w:rPr>
                <w:sz w:val="18"/>
                <w:szCs w:val="18"/>
              </w:rPr>
              <w:fldChar w:fldCharType="end"/>
            </w:r>
            <w:bookmarkEnd w:id="1727"/>
            <w:r w:rsidR="005D41E0">
              <w:rPr>
                <w:sz w:val="18"/>
                <w:szCs w:val="18"/>
              </w:rPr>
              <w:t>.</w:t>
            </w:r>
            <w:r w:rsidRPr="007A6BE0">
              <w:rPr>
                <w:rFonts w:cs="Arial"/>
                <w:sz w:val="18"/>
                <w:szCs w:val="18"/>
              </w:rPr>
              <w:t xml:space="preserve"> </w:t>
            </w:r>
            <w:r w:rsidR="00194D1F" w:rsidRPr="007A6BE0">
              <w:rPr>
                <w:rFonts w:cs="Arial"/>
                <w:sz w:val="18"/>
                <w:szCs w:val="18"/>
              </w:rPr>
              <w:tab/>
            </w:r>
            <w:bookmarkStart w:id="1738" w:name="_Ref500236902"/>
            <w:r w:rsidR="00E827D8" w:rsidRPr="007A6BE0">
              <w:rPr>
                <w:sz w:val="18"/>
                <w:szCs w:val="18"/>
                <w:lang w:val="en-US"/>
              </w:rPr>
              <w:t>The Government allocate additional funds to the Department so it can collaborate with research organi</w:t>
            </w:r>
            <w:r w:rsidR="00517D39" w:rsidRPr="007A6BE0">
              <w:rPr>
                <w:sz w:val="18"/>
                <w:szCs w:val="18"/>
                <w:lang w:val="en-US"/>
              </w:rPr>
              <w:t>s</w:t>
            </w:r>
            <w:r w:rsidR="00E827D8" w:rsidRPr="007A6BE0">
              <w:rPr>
                <w:sz w:val="18"/>
                <w:szCs w:val="18"/>
                <w:lang w:val="en-US"/>
              </w:rPr>
              <w:t>ations and stakeholders on new methods for the land sector, drawing on the consultation process for new method development (</w:t>
            </w:r>
            <w:r w:rsidR="00562369">
              <w:rPr>
                <w:sz w:val="18"/>
                <w:szCs w:val="18"/>
                <w:lang w:val="en-US"/>
              </w:rPr>
              <w:t>Recommendation 1</w:t>
            </w:r>
            <w:r w:rsidR="00E827D8" w:rsidRPr="007A6BE0">
              <w:rPr>
                <w:sz w:val="18"/>
                <w:szCs w:val="18"/>
                <w:lang w:val="en-US"/>
              </w:rPr>
              <w:t>)</w:t>
            </w:r>
            <w:bookmarkEnd w:id="1728"/>
            <w:r w:rsidR="00E827D8" w:rsidRPr="007A6BE0">
              <w:rPr>
                <w:sz w:val="18"/>
                <w:szCs w:val="18"/>
                <w:lang w:val="en-US"/>
              </w:rPr>
              <w:t xml:space="preserve"> </w:t>
            </w:r>
            <w:r w:rsidR="009010CD" w:rsidRPr="007A6BE0">
              <w:rPr>
                <w:sz w:val="18"/>
                <w:szCs w:val="18"/>
                <w:lang w:val="en-US"/>
              </w:rPr>
              <w:t>and</w:t>
            </w:r>
            <w:r w:rsidR="00E827D8" w:rsidRPr="007A6BE0">
              <w:rPr>
                <w:sz w:val="18"/>
                <w:szCs w:val="18"/>
                <w:lang w:val="en-US"/>
              </w:rPr>
              <w:t xml:space="preserve"> the Government require rural </w:t>
            </w:r>
            <w:r w:rsidR="00517D39" w:rsidRPr="007A6BE0">
              <w:rPr>
                <w:sz w:val="18"/>
                <w:szCs w:val="18"/>
                <w:lang w:val="en-US"/>
              </w:rPr>
              <w:t xml:space="preserve">research and </w:t>
            </w:r>
            <w:r w:rsidR="00E827D8" w:rsidRPr="007A6BE0">
              <w:rPr>
                <w:sz w:val="18"/>
                <w:szCs w:val="18"/>
                <w:lang w:val="en-US"/>
              </w:rPr>
              <w:t xml:space="preserve">development corporations </w:t>
            </w:r>
            <w:r w:rsidR="009010CD" w:rsidRPr="007A6BE0">
              <w:rPr>
                <w:sz w:val="18"/>
                <w:szCs w:val="18"/>
                <w:lang w:val="en-US"/>
              </w:rPr>
              <w:t>include emissions reductions as one of the priorities for their research and development work</w:t>
            </w:r>
            <w:r w:rsidR="00E827D8" w:rsidRPr="007A6BE0">
              <w:rPr>
                <w:sz w:val="18"/>
                <w:szCs w:val="18"/>
                <w:lang w:val="en-US"/>
              </w:rPr>
              <w:t>.</w:t>
            </w:r>
            <w:bookmarkEnd w:id="1729"/>
            <w:bookmarkEnd w:id="1730"/>
            <w:bookmarkEnd w:id="1731"/>
            <w:bookmarkEnd w:id="1732"/>
            <w:bookmarkEnd w:id="1733"/>
            <w:bookmarkEnd w:id="1734"/>
            <w:bookmarkEnd w:id="1735"/>
            <w:bookmarkEnd w:id="1736"/>
            <w:bookmarkEnd w:id="1737"/>
            <w:bookmarkEnd w:id="1738"/>
          </w:p>
        </w:tc>
      </w:tr>
    </w:tbl>
    <w:p w14:paraId="6B87A6CE" w14:textId="77777777" w:rsidR="006C4615" w:rsidRDefault="006C4615" w:rsidP="00BF0516">
      <w:bookmarkStart w:id="1739" w:name="_Toc497819529"/>
      <w:bookmarkStart w:id="1740" w:name="_Toc498691598"/>
      <w:bookmarkStart w:id="1741" w:name="_Toc499043777"/>
      <w:bookmarkStart w:id="1742" w:name="_Toc499051802"/>
      <w:bookmarkStart w:id="1743" w:name="_Toc500251155"/>
      <w:bookmarkStart w:id="1744" w:name="_Toc500251430"/>
      <w:bookmarkStart w:id="1745" w:name="_Toc500254027"/>
    </w:p>
    <w:p w14:paraId="5F21DB17" w14:textId="09793908" w:rsidR="00A53C41" w:rsidRPr="0038754B" w:rsidRDefault="006F4344" w:rsidP="00F25FE3">
      <w:pPr>
        <w:pStyle w:val="Heading2"/>
      </w:pPr>
      <w:bookmarkStart w:id="1746" w:name="_Toc500401534"/>
      <w:bookmarkStart w:id="1747" w:name="_Toc500491022"/>
      <w:bookmarkStart w:id="1748" w:name="_Toc500512959"/>
      <w:bookmarkStart w:id="1749" w:name="_Toc500514219"/>
      <w:bookmarkStart w:id="1750" w:name="_Toc500516271"/>
      <w:r w:rsidRPr="0038754B">
        <w:t>E</w:t>
      </w:r>
      <w:r w:rsidR="009C3F77">
        <w:t xml:space="preserve">missions </w:t>
      </w:r>
      <w:r w:rsidRPr="0038754B">
        <w:t>R</w:t>
      </w:r>
      <w:r w:rsidR="009C3F77">
        <w:t xml:space="preserve">eduction </w:t>
      </w:r>
      <w:r w:rsidRPr="0038754B">
        <w:t>F</w:t>
      </w:r>
      <w:r w:rsidR="009C3F77">
        <w:t>und</w:t>
      </w:r>
      <w:r w:rsidRPr="0038754B">
        <w:t xml:space="preserve">: </w:t>
      </w:r>
      <w:r w:rsidR="006F1B4C">
        <w:t>f</w:t>
      </w:r>
      <w:r w:rsidR="006F1B4C" w:rsidRPr="0038754B">
        <w:t xml:space="preserve">rom </w:t>
      </w:r>
      <w:r w:rsidRPr="0038754B">
        <w:t>G</w:t>
      </w:r>
      <w:r w:rsidR="00A53C41" w:rsidRPr="0038754B">
        <w:t>overnment purchase to a private market</w:t>
      </w:r>
      <w:bookmarkEnd w:id="1739"/>
      <w:bookmarkEnd w:id="1740"/>
      <w:bookmarkEnd w:id="1741"/>
      <w:bookmarkEnd w:id="1742"/>
      <w:bookmarkEnd w:id="1743"/>
      <w:bookmarkEnd w:id="1744"/>
      <w:bookmarkEnd w:id="1745"/>
      <w:bookmarkEnd w:id="1746"/>
      <w:bookmarkEnd w:id="1747"/>
      <w:bookmarkEnd w:id="1748"/>
      <w:bookmarkEnd w:id="1749"/>
      <w:bookmarkEnd w:id="1750"/>
    </w:p>
    <w:p w14:paraId="30DEFB44" w14:textId="0811604E" w:rsidR="00A53C41" w:rsidRPr="0038754B" w:rsidRDefault="00A53C41" w:rsidP="00A53C41">
      <w:r w:rsidRPr="0038754B">
        <w:t>A number of stakeholders supported new funding for the ERF as a transitional measure until an alternative source of demand for A</w:t>
      </w:r>
      <w:r w:rsidR="009C3F77">
        <w:t xml:space="preserve">ustralian </w:t>
      </w:r>
      <w:r w:rsidRPr="0038754B">
        <w:t>C</w:t>
      </w:r>
      <w:r w:rsidR="009C3F77">
        <w:t xml:space="preserve">arbon </w:t>
      </w:r>
      <w:r w:rsidRPr="0038754B">
        <w:t>C</w:t>
      </w:r>
      <w:r w:rsidR="009C3F77">
        <w:t xml:space="preserve">redit </w:t>
      </w:r>
      <w:r w:rsidRPr="0038754B">
        <w:t>U</w:t>
      </w:r>
      <w:r w:rsidR="009C3F77">
        <w:t>nit</w:t>
      </w:r>
      <w:r w:rsidRPr="0038754B">
        <w:t xml:space="preserve">s </w:t>
      </w:r>
      <w:r w:rsidR="009C3F77">
        <w:t xml:space="preserve">(ACCUs) </w:t>
      </w:r>
      <w:r w:rsidRPr="0038754B">
        <w:t>emerges (AGL, GreenCollar</w:t>
      </w:r>
      <w:r w:rsidR="009C3F77">
        <w:t xml:space="preserve"> </w:t>
      </w:r>
      <w:r w:rsidRPr="0038754B">
        <w:t>and A</w:t>
      </w:r>
      <w:r w:rsidR="009C3F77">
        <w:t xml:space="preserve">ustralian </w:t>
      </w:r>
      <w:r w:rsidRPr="0038754B">
        <w:t>P</w:t>
      </w:r>
      <w:r w:rsidR="009C3F77">
        <w:t xml:space="preserve">etroleum </w:t>
      </w:r>
      <w:r w:rsidRPr="0038754B">
        <w:t>P</w:t>
      </w:r>
      <w:r w:rsidR="009C3F77">
        <w:t xml:space="preserve">roduction and </w:t>
      </w:r>
      <w:r w:rsidRPr="0038754B">
        <w:t>E</w:t>
      </w:r>
      <w:r w:rsidR="009C3F77">
        <w:t xml:space="preserve">xploration </w:t>
      </w:r>
      <w:r w:rsidRPr="0038754B">
        <w:t>A</w:t>
      </w:r>
      <w:r w:rsidR="009C3F77">
        <w:t>ssociation</w:t>
      </w:r>
      <w:r w:rsidR="00EB3581" w:rsidRPr="0038754B">
        <w:t xml:space="preserve"> submissions on this review</w:t>
      </w:r>
      <w:r w:rsidRPr="0038754B">
        <w:t xml:space="preserve">). </w:t>
      </w:r>
    </w:p>
    <w:p w14:paraId="755A277B" w14:textId="49ED0A9C" w:rsidR="00A53C41" w:rsidRPr="0038754B" w:rsidRDefault="00EB3581" w:rsidP="00A53C41">
      <w:r w:rsidRPr="0038754B">
        <w:t xml:space="preserve">Also, </w:t>
      </w:r>
      <w:r w:rsidR="00A53C41" w:rsidRPr="0038754B">
        <w:t xml:space="preserve">CMI’s </w:t>
      </w:r>
      <w:r w:rsidR="007E5547" w:rsidRPr="0038754B">
        <w:t>submission on</w:t>
      </w:r>
      <w:r w:rsidR="00A53C41" w:rsidRPr="0038754B">
        <w:t xml:space="preserve"> </w:t>
      </w:r>
      <w:r w:rsidR="0001584E">
        <w:t>this</w:t>
      </w:r>
      <w:r w:rsidR="00A53C41" w:rsidRPr="0038754B">
        <w:t xml:space="preserve"> review said: </w:t>
      </w:r>
    </w:p>
    <w:p w14:paraId="1EA99A56" w14:textId="54D0E205" w:rsidR="00A53C41" w:rsidRPr="0038754B" w:rsidRDefault="00A53C41" w:rsidP="008F73A3">
      <w:pPr>
        <w:ind w:left="284"/>
        <w:rPr>
          <w:i/>
        </w:rPr>
      </w:pPr>
      <w:r w:rsidRPr="0038754B">
        <w:rPr>
          <w:i/>
        </w:rPr>
        <w:t>The Government should commit a quantum of additional funding allocation to the ERF that is required to ensure the continuity of the domestic carbon offset industry until the time it transitions to a market driven by demand under the Safeguard Mechanism</w:t>
      </w:r>
      <w:r w:rsidR="00AD4AD5">
        <w:rPr>
          <w:i/>
        </w:rPr>
        <w:t xml:space="preserve"> </w:t>
      </w:r>
      <w:r w:rsidR="00AD4AD5" w:rsidRPr="008F73A3">
        <w:rPr>
          <w:i/>
        </w:rPr>
        <w:t xml:space="preserve">(p. </w:t>
      </w:r>
      <w:r w:rsidR="0001584E" w:rsidRPr="008F73A3">
        <w:rPr>
          <w:i/>
        </w:rPr>
        <w:t>6</w:t>
      </w:r>
      <w:r w:rsidR="00AD4AD5" w:rsidRPr="008F73A3">
        <w:rPr>
          <w:i/>
        </w:rPr>
        <w:t>)</w:t>
      </w:r>
      <w:r w:rsidR="002135B1">
        <w:rPr>
          <w:i/>
        </w:rPr>
        <w:t>.</w:t>
      </w:r>
    </w:p>
    <w:p w14:paraId="6B92AA6F" w14:textId="58165069" w:rsidR="00A53C41" w:rsidRPr="0038754B" w:rsidRDefault="00A53C41" w:rsidP="00A53C41">
      <w:r w:rsidRPr="0038754B">
        <w:t xml:space="preserve">The Wentworth Group </w:t>
      </w:r>
      <w:r w:rsidR="00D57D3F">
        <w:t>in their submission on this review</w:t>
      </w:r>
      <w:r w:rsidRPr="0038754B">
        <w:t xml:space="preserve"> noted that, in the long term, an alternative source of demand for ACCUs beyond the Government would be necessary to spur investment in ERF projects. </w:t>
      </w:r>
    </w:p>
    <w:p w14:paraId="74A15251" w14:textId="506D53E7" w:rsidR="00A53C41" w:rsidRPr="0038754B" w:rsidRDefault="00A53C41" w:rsidP="00A53C41">
      <w:r w:rsidRPr="0038754B">
        <w:t>Any new funding for ERF purchasing would be a matter for future Government decision making in the context of the federal budget. Given the tight fiscal outlook, the Authority expects that it may be challenging to obtain significant new funds for ERF purchasing. There is however more than $300 million left (excluding the results of the December 2017 auction)</w:t>
      </w:r>
      <w:r w:rsidR="009C3F77">
        <w:t>,</w:t>
      </w:r>
      <w:r w:rsidRPr="0038754B">
        <w:t xml:space="preserve"> which could provide some continuity of investment. </w:t>
      </w:r>
    </w:p>
    <w:p w14:paraId="6BDFE023" w14:textId="6C7BAFFB" w:rsidR="00A53C41" w:rsidRPr="0038754B" w:rsidRDefault="00A53C41" w:rsidP="00A53C41">
      <w:r w:rsidRPr="0038754B">
        <w:t xml:space="preserve">The Authority remains of the view however that ERF purchasing of emissions reductions will need to perform less of Australia’s emissions reduction task over time and that </w:t>
      </w:r>
      <w:r w:rsidR="000E6CCB">
        <w:t>G</w:t>
      </w:r>
      <w:r w:rsidRPr="0038754B">
        <w:t>overnment purchasing will need to be replaced by the emergence of a private market incentivised by other measures.</w:t>
      </w:r>
    </w:p>
    <w:p w14:paraId="06A6A284" w14:textId="601B2C0A" w:rsidR="00A53C41" w:rsidRPr="0038754B" w:rsidRDefault="00A53C41" w:rsidP="00A53C41">
      <w:r w:rsidRPr="0038754B">
        <w:t xml:space="preserve">The possibility for retailers to use ACCUs or international units to meet the emissions </w:t>
      </w:r>
      <w:r w:rsidR="004D5389">
        <w:t>requirement</w:t>
      </w:r>
      <w:r w:rsidR="004D5389" w:rsidRPr="0038754B">
        <w:t xml:space="preserve"> </w:t>
      </w:r>
      <w:r w:rsidRPr="0038754B">
        <w:t xml:space="preserve">(after it is implemented in 2020) is one of the </w:t>
      </w:r>
      <w:r w:rsidR="003417AB" w:rsidRPr="0038754B">
        <w:t>Guarantee</w:t>
      </w:r>
      <w:r w:rsidRPr="0038754B">
        <w:t xml:space="preserve"> design features that is still to be settled. At this stage, it is difficult to tell whether the </w:t>
      </w:r>
      <w:r w:rsidR="003417AB" w:rsidRPr="0038754B">
        <w:t>Guarantee</w:t>
      </w:r>
      <w:r w:rsidRPr="0038754B">
        <w:t xml:space="preserve"> or another policy like an expanded safeguard will deliver new demand for ACCUs and ERF offset projects into the future. The Authority notes that allowing energy retailers to use ACCUs and international units to meet their </w:t>
      </w:r>
      <w:r w:rsidR="003417AB" w:rsidRPr="0038754B">
        <w:t>Guarantee</w:t>
      </w:r>
      <w:r w:rsidRPr="0038754B">
        <w:t xml:space="preserve"> compliance obligations could allow greater flexibility and lower costs. As outlined in the </w:t>
      </w:r>
      <w:r w:rsidR="009E1BB5" w:rsidRPr="00E55312">
        <w:rPr>
          <w:i/>
        </w:rPr>
        <w:t>2016 S</w:t>
      </w:r>
      <w:r w:rsidRPr="00E55312">
        <w:rPr>
          <w:i/>
        </w:rPr>
        <w:t xml:space="preserve">pecial </w:t>
      </w:r>
      <w:r w:rsidR="009E1BB5" w:rsidRPr="00E55312">
        <w:rPr>
          <w:i/>
        </w:rPr>
        <w:t>R</w:t>
      </w:r>
      <w:r w:rsidRPr="00E55312">
        <w:rPr>
          <w:i/>
        </w:rPr>
        <w:t>eview</w:t>
      </w:r>
      <w:r w:rsidRPr="0038754B">
        <w:t>, the Authority considers that use of international permits co</w:t>
      </w:r>
      <w:r w:rsidR="00D81FC8" w:rsidRPr="0038754B">
        <w:t xml:space="preserve">uld complement domestic action </w:t>
      </w:r>
      <w:r w:rsidRPr="0038754B">
        <w:t>provid</w:t>
      </w:r>
      <w:r w:rsidR="00D81FC8" w:rsidRPr="0038754B">
        <w:t>ed they are robust and credible</w:t>
      </w:r>
      <w:r w:rsidRPr="0038754B">
        <w:t xml:space="preserve">. It will be important that the use of international units and ACCUs does not delay the sector’s transition to lower emissions energy. </w:t>
      </w:r>
    </w:p>
    <w:p w14:paraId="41B568E9" w14:textId="77777777" w:rsidR="00A53C41" w:rsidRPr="0038754B" w:rsidRDefault="00A53C41">
      <w:pPr>
        <w:pStyle w:val="Heading2"/>
      </w:pPr>
      <w:bookmarkStart w:id="1751" w:name="_Toc497819530"/>
      <w:bookmarkStart w:id="1752" w:name="_Toc498691599"/>
      <w:bookmarkStart w:id="1753" w:name="_Toc499043778"/>
      <w:bookmarkStart w:id="1754" w:name="_Toc499051803"/>
      <w:bookmarkStart w:id="1755" w:name="_Toc500251156"/>
      <w:bookmarkStart w:id="1756" w:name="_Toc500251431"/>
      <w:bookmarkStart w:id="1757" w:name="_Toc500254028"/>
      <w:bookmarkStart w:id="1758" w:name="_Toc500401535"/>
      <w:bookmarkStart w:id="1759" w:name="_Toc500491023"/>
      <w:bookmarkStart w:id="1760" w:name="_Toc500512960"/>
      <w:bookmarkStart w:id="1761" w:name="_Toc500514220"/>
      <w:bookmarkStart w:id="1762" w:name="_Toc500516272"/>
      <w:r w:rsidRPr="0038754B">
        <w:t>Building on existing investments</w:t>
      </w:r>
      <w:bookmarkEnd w:id="1751"/>
      <w:bookmarkEnd w:id="1752"/>
      <w:bookmarkEnd w:id="1753"/>
      <w:bookmarkEnd w:id="1754"/>
      <w:bookmarkEnd w:id="1755"/>
      <w:bookmarkEnd w:id="1756"/>
      <w:bookmarkEnd w:id="1757"/>
      <w:bookmarkEnd w:id="1758"/>
      <w:bookmarkEnd w:id="1759"/>
      <w:bookmarkEnd w:id="1760"/>
      <w:bookmarkEnd w:id="1761"/>
      <w:bookmarkEnd w:id="1762"/>
    </w:p>
    <w:p w14:paraId="67868D02" w14:textId="0D755F37" w:rsidR="00A53C41" w:rsidRPr="0038754B" w:rsidRDefault="00A53C41" w:rsidP="00A53C41">
      <w:r w:rsidRPr="0038754B">
        <w:t>The Government has invested</w:t>
      </w:r>
      <w:r w:rsidRPr="0038754B" w:rsidDel="00392484">
        <w:t xml:space="preserve"> i</w:t>
      </w:r>
      <w:r w:rsidRPr="0038754B">
        <w:t>n ERF crediting of offsets through method development, assessment and review, project registration and reporting, scheme administration and compliance. The private sector, government and non-government organisations have all become familiar with these arrangements and have crafted business models around them. There is now a significant body of experience and expertise across and beyond government. Continuing the use of the crediting aspects of the ERF will maximise the value of these investments.</w:t>
      </w:r>
    </w:p>
    <w:p w14:paraId="2FDC61D1" w14:textId="6AD283D0" w:rsidR="00A53C41" w:rsidRPr="0038754B" w:rsidRDefault="00A53C41" w:rsidP="00A53C41">
      <w:r w:rsidRPr="0038754B">
        <w:t xml:space="preserve">The Authority is also mindful of the need to avoid stranded investments if there is a break in demand for ACCUs from Government contracts. Similarly the secondary market is likely to need ACCUs from new ERF projects for some time to come. It would be desirable to avoid an investment hiatus for ERF offset projects if </w:t>
      </w:r>
      <w:r w:rsidR="000E6CCB">
        <w:t>G</w:t>
      </w:r>
      <w:r w:rsidRPr="0038754B">
        <w:t>overnment purchasing winds up.</w:t>
      </w:r>
    </w:p>
    <w:p w14:paraId="34A14B78" w14:textId="77777777" w:rsidR="00A53C41" w:rsidRPr="0038754B" w:rsidRDefault="00A53C41">
      <w:pPr>
        <w:pStyle w:val="Heading2"/>
      </w:pPr>
      <w:bookmarkStart w:id="1763" w:name="_Toc497819531"/>
      <w:bookmarkStart w:id="1764" w:name="_Toc498691600"/>
      <w:bookmarkStart w:id="1765" w:name="_Toc499043779"/>
      <w:bookmarkStart w:id="1766" w:name="_Toc499051804"/>
      <w:bookmarkStart w:id="1767" w:name="_Toc500251157"/>
      <w:bookmarkStart w:id="1768" w:name="_Toc500251432"/>
      <w:bookmarkStart w:id="1769" w:name="_Toc500254029"/>
      <w:bookmarkStart w:id="1770" w:name="_Toc500401536"/>
      <w:bookmarkStart w:id="1771" w:name="_Toc500491024"/>
      <w:bookmarkStart w:id="1772" w:name="_Toc500512961"/>
      <w:bookmarkStart w:id="1773" w:name="_Toc500514221"/>
      <w:bookmarkStart w:id="1774" w:name="_Toc500516273"/>
      <w:r w:rsidRPr="0038754B">
        <w:t>A predictable and transparent policy transition</w:t>
      </w:r>
      <w:bookmarkEnd w:id="1763"/>
      <w:bookmarkEnd w:id="1764"/>
      <w:bookmarkEnd w:id="1765"/>
      <w:bookmarkEnd w:id="1766"/>
      <w:bookmarkEnd w:id="1767"/>
      <w:bookmarkEnd w:id="1768"/>
      <w:bookmarkEnd w:id="1769"/>
      <w:bookmarkEnd w:id="1770"/>
      <w:bookmarkEnd w:id="1771"/>
      <w:bookmarkEnd w:id="1772"/>
      <w:bookmarkEnd w:id="1773"/>
      <w:bookmarkEnd w:id="1774"/>
    </w:p>
    <w:p w14:paraId="2AD90B71" w14:textId="77777777" w:rsidR="00A53C41" w:rsidRPr="0038754B" w:rsidRDefault="00A53C41" w:rsidP="00A53C41">
      <w:r w:rsidRPr="0038754B">
        <w:t>A predictable policy transition from the current ERF (crediting and purchasing across the economy) to one focused on crediting for the land sector means that, to the extent possible, businesses, households and other affected entities need a clear understanding of future policy arrangements so they can form well-founded expectations about the future.</w:t>
      </w:r>
    </w:p>
    <w:p w14:paraId="4AEB50F7" w14:textId="77777777" w:rsidR="00C076EA" w:rsidRDefault="00A53C41" w:rsidP="00E55312">
      <w:r w:rsidRPr="0038754B">
        <w:t xml:space="preserve">For example, Climate Friendly </w:t>
      </w:r>
      <w:r w:rsidR="00421C81">
        <w:t xml:space="preserve">in their </w:t>
      </w:r>
      <w:r w:rsidR="004467B3" w:rsidRPr="0038754B">
        <w:t>submission on this review</w:t>
      </w:r>
      <w:r w:rsidRPr="0038754B">
        <w:t xml:space="preserve"> highlighted that establishing clearer climate change policy is of greater importance than adjusting operational aspects of the ERF:</w:t>
      </w:r>
    </w:p>
    <w:p w14:paraId="772AE825" w14:textId="0FBA2967" w:rsidR="00A53C41" w:rsidRPr="0038754B" w:rsidRDefault="00A53C41" w:rsidP="00AC7279">
      <w:pPr>
        <w:ind w:left="284"/>
        <w:rPr>
          <w:i/>
        </w:rPr>
      </w:pPr>
      <w:r w:rsidRPr="00AC7279">
        <w:rPr>
          <w:i/>
        </w:rPr>
        <w:t>without the right pricing signals and policy toolkit, improvements to the operational aspects of the ERF will not deliver Australia’s contribution towards the Paris Agreement and tackle the pressing issue of climate change</w:t>
      </w:r>
      <w:r w:rsidR="00AD4AD5">
        <w:rPr>
          <w:i/>
        </w:rPr>
        <w:t xml:space="preserve"> </w:t>
      </w:r>
      <w:r w:rsidR="00AD4AD5" w:rsidRPr="00E55312">
        <w:t xml:space="preserve">(p. 3). </w:t>
      </w:r>
    </w:p>
    <w:p w14:paraId="4418C170" w14:textId="724DB0CA" w:rsidR="00A53C41" w:rsidRPr="0038754B" w:rsidRDefault="00A53C41" w:rsidP="00A53C41">
      <w:r w:rsidRPr="0038754B">
        <w:t xml:space="preserve">During the transition of the ERF away from </w:t>
      </w:r>
      <w:r w:rsidR="006517B3">
        <w:t xml:space="preserve">Government </w:t>
      </w:r>
      <w:r w:rsidRPr="0038754B">
        <w:t xml:space="preserve">purchasing activities and towards other sources of demand for ACCUs, the Government should seek to ensure its decisions are communicated well in advance of coming into effect (such as when certain activities will no longer be eligible as offsets and when </w:t>
      </w:r>
      <w:r w:rsidR="00421C81">
        <w:t>G</w:t>
      </w:r>
      <w:r w:rsidRPr="0038754B">
        <w:t xml:space="preserve">overnment auctions will phase out). This </w:t>
      </w:r>
      <w:r w:rsidR="00D81FC8" w:rsidRPr="0038754B">
        <w:t xml:space="preserve">will help the private sector </w:t>
      </w:r>
      <w:r w:rsidRPr="0038754B">
        <w:t xml:space="preserve">make decisions and investments that are cost and environmentally effective. </w:t>
      </w:r>
    </w:p>
    <w:p w14:paraId="04C1B20B" w14:textId="73D30352" w:rsidR="00A53C41" w:rsidRPr="0038754B" w:rsidRDefault="00A53C41" w:rsidP="00A53C41">
      <w:r w:rsidRPr="0038754B">
        <w:t>On the other hand, experience with the transition from the C</w:t>
      </w:r>
      <w:r w:rsidR="009C3F77">
        <w:t xml:space="preserve">arbon </w:t>
      </w:r>
      <w:r w:rsidRPr="0038754B">
        <w:t>F</w:t>
      </w:r>
      <w:r w:rsidR="009C3F77">
        <w:t xml:space="preserve">arming </w:t>
      </w:r>
      <w:r w:rsidRPr="0038754B">
        <w:t>I</w:t>
      </w:r>
      <w:r w:rsidR="009C3F77">
        <w:t>nitiative (CFI)</w:t>
      </w:r>
      <w:r w:rsidRPr="0038754B">
        <w:t xml:space="preserve"> to the ERF offers some useful lessons. Some projects established in the early 2000s under now defunct offset schemes became eligible to generate ACCUs for the CFI and continue to receive ACCUs under the ERF. Care is needed to avoid projects transitioning from one scheme to another in a way that adversely affects ERF</w:t>
      </w:r>
      <w:r w:rsidR="006517B3">
        <w:t xml:space="preserve"> offsets</w:t>
      </w:r>
      <w:r w:rsidRPr="0038754B">
        <w:t xml:space="preserve"> integrity standards, particularly for addi</w:t>
      </w:r>
      <w:r w:rsidR="00D81FC8" w:rsidRPr="0038754B">
        <w:t xml:space="preserve">tionality. As noted in </w:t>
      </w:r>
      <w:r w:rsidR="0001584E">
        <w:rPr>
          <w:rStyle w:val="SectionChapterChar"/>
        </w:rPr>
        <w:fldChar w:fldCharType="begin"/>
      </w:r>
      <w:r w:rsidR="0001584E">
        <w:rPr>
          <w:rStyle w:val="SectionChapterChar"/>
        </w:rPr>
        <w:instrText xml:space="preserve"> REF _Ref500248967 \w \h </w:instrText>
      </w:r>
      <w:r w:rsidR="0001584E">
        <w:rPr>
          <w:rStyle w:val="SectionChapterChar"/>
        </w:rPr>
      </w:r>
      <w:r w:rsidR="0001584E">
        <w:rPr>
          <w:rStyle w:val="SectionChapterChar"/>
        </w:rPr>
        <w:fldChar w:fldCharType="separate"/>
      </w:r>
      <w:r w:rsidR="00FA2002">
        <w:rPr>
          <w:rStyle w:val="SectionChapterChar"/>
        </w:rPr>
        <w:t>Chapter 3</w:t>
      </w:r>
      <w:r w:rsidR="0001584E">
        <w:rPr>
          <w:rStyle w:val="SectionChapterChar"/>
        </w:rPr>
        <w:fldChar w:fldCharType="end"/>
      </w:r>
      <w:r w:rsidRPr="00AC7279">
        <w:rPr>
          <w:rStyle w:val="SectionChapterChar"/>
        </w:rPr>
        <w:t>,</w:t>
      </w:r>
      <w:r w:rsidRPr="0038754B">
        <w:t xml:space="preserve"> the E</w:t>
      </w:r>
      <w:r w:rsidR="009C3F77">
        <w:t xml:space="preserve">missions </w:t>
      </w:r>
      <w:r w:rsidRPr="0038754B">
        <w:t>R</w:t>
      </w:r>
      <w:r w:rsidR="009C3F77">
        <w:t xml:space="preserve">eduction </w:t>
      </w:r>
      <w:r w:rsidRPr="0038754B">
        <w:t>A</w:t>
      </w:r>
      <w:r w:rsidR="009C3F77">
        <w:t xml:space="preserve">ssurance </w:t>
      </w:r>
      <w:r w:rsidR="009C3F77" w:rsidRPr="0038754B">
        <w:t>C</w:t>
      </w:r>
      <w:r w:rsidR="009C3F77">
        <w:t>ommitte</w:t>
      </w:r>
      <w:r w:rsidR="009C3F77" w:rsidRPr="0038754B">
        <w:t>e’s</w:t>
      </w:r>
      <w:r w:rsidRPr="0038754B">
        <w:t xml:space="preserve"> review of methods and crediting periods is an important check against this risk.</w:t>
      </w:r>
    </w:p>
    <w:p w14:paraId="15D806FF" w14:textId="77777777" w:rsidR="00A53C41" w:rsidRPr="0038754B" w:rsidRDefault="00A53C41" w:rsidP="00A53C41">
      <w:r w:rsidRPr="0038754B">
        <w:t>In summary the Authority suggests that the following principles be used as a guide for the ERF to make an effective transition to a new role crediting land based offsets.</w:t>
      </w:r>
    </w:p>
    <w:p w14:paraId="1B91248E" w14:textId="77777777" w:rsidR="00A53C41" w:rsidRPr="0038754B" w:rsidRDefault="00A53C41">
      <w:pPr>
        <w:pStyle w:val="Heading2"/>
      </w:pPr>
      <w:bookmarkStart w:id="1775" w:name="_Toc497819532"/>
      <w:bookmarkStart w:id="1776" w:name="_Toc498691601"/>
      <w:bookmarkStart w:id="1777" w:name="_Toc499043780"/>
      <w:bookmarkStart w:id="1778" w:name="_Toc499051805"/>
      <w:bookmarkStart w:id="1779" w:name="_Toc500251158"/>
      <w:bookmarkStart w:id="1780" w:name="_Toc500251433"/>
      <w:bookmarkStart w:id="1781" w:name="_Toc500254030"/>
      <w:bookmarkStart w:id="1782" w:name="_Toc500401537"/>
      <w:bookmarkStart w:id="1783" w:name="_Toc500491025"/>
      <w:bookmarkStart w:id="1784" w:name="_Toc500512962"/>
      <w:bookmarkStart w:id="1785" w:name="_Toc500514222"/>
      <w:bookmarkStart w:id="1786" w:name="_Toc500516274"/>
      <w:r w:rsidRPr="0038754B">
        <w:t>Principles for transition</w:t>
      </w:r>
      <w:bookmarkEnd w:id="1775"/>
      <w:bookmarkEnd w:id="1776"/>
      <w:bookmarkEnd w:id="1777"/>
      <w:bookmarkEnd w:id="1778"/>
      <w:bookmarkEnd w:id="1779"/>
      <w:bookmarkEnd w:id="1780"/>
      <w:bookmarkEnd w:id="1781"/>
      <w:bookmarkEnd w:id="1782"/>
      <w:bookmarkEnd w:id="1783"/>
      <w:bookmarkEnd w:id="1784"/>
      <w:bookmarkEnd w:id="1785"/>
      <w:bookmarkEnd w:id="1786"/>
    </w:p>
    <w:p w14:paraId="2A340CBE" w14:textId="77777777" w:rsidR="00A53C41" w:rsidRPr="0038754B" w:rsidRDefault="00A53C41" w:rsidP="00A53C41">
      <w:r w:rsidRPr="0038754B">
        <w:t>To the extent possible, government decision making should provide investment certainty about future policies and possible demand for ACCUs by:</w:t>
      </w:r>
    </w:p>
    <w:p w14:paraId="29D98E7F" w14:textId="0F6293A5" w:rsidR="00A53C41" w:rsidRPr="0038754B" w:rsidRDefault="00A53C41" w:rsidP="00C97F59">
      <w:pPr>
        <w:pStyle w:val="ListBullet"/>
      </w:pPr>
      <w:r w:rsidRPr="0038754B">
        <w:t>Ensuring that available funding and timing of future auctions are telegraphed well in advance</w:t>
      </w:r>
      <w:r w:rsidR="00421C81">
        <w:t>.</w:t>
      </w:r>
    </w:p>
    <w:p w14:paraId="1A3C5DD4" w14:textId="77777777" w:rsidR="00A53C41" w:rsidRPr="0038754B" w:rsidRDefault="00A53C41" w:rsidP="00C97F59">
      <w:pPr>
        <w:pStyle w:val="ListBullet"/>
      </w:pPr>
      <w:r w:rsidRPr="0038754B">
        <w:t>Communicating changes in the coverage of the ERF (from economy-wide to the land) with plenty of notice for sectors that may no longer be eligible to generate offsets.</w:t>
      </w:r>
    </w:p>
    <w:p w14:paraId="18E850A1" w14:textId="77777777" w:rsidR="00A53C41" w:rsidRPr="0038754B" w:rsidRDefault="00A53C41" w:rsidP="00C97F59">
      <w:pPr>
        <w:pStyle w:val="ListBullet"/>
      </w:pPr>
      <w:r w:rsidRPr="0038754B">
        <w:t>Maximising the use of the existing Government architecture developed to measure, credit and ensure compliance for offsets.</w:t>
      </w:r>
    </w:p>
    <w:p w14:paraId="2369F653" w14:textId="77777777" w:rsidR="00A53C41" w:rsidRPr="0038754B" w:rsidRDefault="00A53C41" w:rsidP="00C97F59">
      <w:pPr>
        <w:pStyle w:val="ListBullet"/>
      </w:pPr>
      <w:r w:rsidRPr="0038754B">
        <w:t xml:space="preserve">Supporting, through funding for further research, the development of new methods to ensure the abatement potential from the land sector is maximised. </w:t>
      </w:r>
    </w:p>
    <w:p w14:paraId="331B8CB8" w14:textId="58DE0789" w:rsidR="008C1871" w:rsidRPr="0038754B" w:rsidRDefault="00A53C41" w:rsidP="00A53C41">
      <w:r w:rsidRPr="0038754B">
        <w:t xml:space="preserve">The Authority has used the assessment criteria in its legislation (economic efficiency, environmental effectiveness and equity) to analyse its </w:t>
      </w:r>
      <w:r w:rsidR="00392484">
        <w:t>guidance</w:t>
      </w:r>
      <w:r w:rsidR="00392484" w:rsidRPr="0038754B">
        <w:t xml:space="preserve"> </w:t>
      </w:r>
      <w:r w:rsidR="00D81FC8" w:rsidRPr="0038754B">
        <w:t>for the ERF transition</w:t>
      </w:r>
      <w:r w:rsidRPr="0038754B">
        <w:t xml:space="preserve"> </w:t>
      </w:r>
      <w:r w:rsidR="00D81FC8" w:rsidRPr="0038754B">
        <w:t>(</w:t>
      </w:r>
      <w:r w:rsidR="0001584E">
        <w:fldChar w:fldCharType="begin"/>
      </w:r>
      <w:r w:rsidR="0001584E">
        <w:instrText xml:space="preserve"> REF _Ref500248997 \h </w:instrText>
      </w:r>
      <w:r w:rsidR="0001584E">
        <w:fldChar w:fldCharType="separate"/>
      </w:r>
      <w:r w:rsidR="00FA2002" w:rsidRPr="0038754B">
        <w:t xml:space="preserve">Table </w:t>
      </w:r>
      <w:r w:rsidR="00FA2002">
        <w:rPr>
          <w:noProof/>
        </w:rPr>
        <w:t>11</w:t>
      </w:r>
      <w:r w:rsidR="0001584E">
        <w:fldChar w:fldCharType="end"/>
      </w:r>
      <w:r w:rsidR="00D81FC8" w:rsidRPr="0038754B">
        <w:t>).</w:t>
      </w:r>
    </w:p>
    <w:p w14:paraId="42F23C05" w14:textId="77777777" w:rsidR="008C1871" w:rsidRPr="0038754B" w:rsidRDefault="008C1871">
      <w:pPr>
        <w:spacing w:after="0" w:line="240" w:lineRule="auto"/>
      </w:pPr>
      <w:r w:rsidRPr="0038754B">
        <w:br w:type="page"/>
      </w:r>
    </w:p>
    <w:p w14:paraId="1ECDE9C2" w14:textId="58D40B2E" w:rsidR="00195178" w:rsidRPr="0038754B" w:rsidRDefault="00195178" w:rsidP="00195178">
      <w:pPr>
        <w:pStyle w:val="CCAFigure"/>
      </w:pPr>
      <w:bookmarkStart w:id="1787" w:name="_Ref500248997"/>
      <w:bookmarkStart w:id="1788" w:name="_Toc497819440"/>
      <w:bookmarkStart w:id="1789" w:name="_Toc498691501"/>
      <w:bookmarkStart w:id="1790" w:name="_Toc499051701"/>
      <w:bookmarkStart w:id="1791" w:name="_Toc500251050"/>
      <w:bookmarkStart w:id="1792" w:name="_Toc500251325"/>
      <w:bookmarkStart w:id="1793" w:name="_Toc500253922"/>
      <w:bookmarkStart w:id="1794" w:name="_Toc500400125"/>
      <w:bookmarkStart w:id="1795" w:name="_Toc500490913"/>
      <w:bookmarkStart w:id="1796" w:name="_Toc500513629"/>
      <w:bookmarkStart w:id="1797" w:name="_Toc500516167"/>
      <w:r w:rsidRPr="0038754B">
        <w:t xml:space="preserve">Table </w:t>
      </w:r>
      <w:r w:rsidR="00FA2002">
        <w:fldChar w:fldCharType="begin"/>
      </w:r>
      <w:r w:rsidR="00FA2002">
        <w:instrText xml:space="preserve"> SEQ Ta</w:instrText>
      </w:r>
      <w:r w:rsidR="00FA2002">
        <w:instrText xml:space="preserve">ble \* ARABIC </w:instrText>
      </w:r>
      <w:r w:rsidR="00FA2002">
        <w:fldChar w:fldCharType="separate"/>
      </w:r>
      <w:r w:rsidR="00FA2002">
        <w:rPr>
          <w:noProof/>
        </w:rPr>
        <w:t>11</w:t>
      </w:r>
      <w:r w:rsidR="00FA2002">
        <w:rPr>
          <w:noProof/>
        </w:rPr>
        <w:fldChar w:fldCharType="end"/>
      </w:r>
      <w:bookmarkEnd w:id="1787"/>
      <w:r w:rsidR="006F4344" w:rsidRPr="0038754B">
        <w:rPr>
          <w:noProof/>
        </w:rPr>
        <w:t>:</w:t>
      </w:r>
      <w:r w:rsidRPr="0038754B">
        <w:t xml:space="preserve"> Analysis of </w:t>
      </w:r>
      <w:r w:rsidR="00E54722" w:rsidRPr="0038754B">
        <w:t xml:space="preserve">ERF </w:t>
      </w:r>
      <w:r w:rsidRPr="0038754B">
        <w:t xml:space="preserve">transition </w:t>
      </w:r>
      <w:bookmarkEnd w:id="1788"/>
      <w:bookmarkEnd w:id="1789"/>
      <w:bookmarkEnd w:id="1790"/>
      <w:bookmarkEnd w:id="1791"/>
      <w:bookmarkEnd w:id="1792"/>
      <w:bookmarkEnd w:id="1793"/>
      <w:bookmarkEnd w:id="1794"/>
      <w:bookmarkEnd w:id="1795"/>
      <w:bookmarkEnd w:id="1796"/>
      <w:r w:rsidR="00392484">
        <w:t>guidance</w:t>
      </w:r>
      <w:bookmarkEnd w:id="17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0"/>
      </w:tblGrid>
      <w:tr w:rsidR="00195178" w:rsidRPr="0038754B" w14:paraId="4F7997D4" w14:textId="77777777" w:rsidTr="00195178">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159DCE"/>
          </w:tcPr>
          <w:p w14:paraId="5C8D6CC0" w14:textId="77777777" w:rsidR="00195178" w:rsidRPr="0038754B" w:rsidRDefault="00195178" w:rsidP="00195178">
            <w:pPr>
              <w:rPr>
                <w:b/>
                <w:color w:val="FFFFFF" w:themeColor="background1"/>
                <w:sz w:val="16"/>
                <w:szCs w:val="16"/>
                <w:lang w:eastAsia="en-AU"/>
              </w:rPr>
            </w:pPr>
            <w:r w:rsidRPr="0038754B">
              <w:rPr>
                <w:b/>
                <w:color w:val="FFFFFF" w:themeColor="background1"/>
                <w:sz w:val="16"/>
                <w:szCs w:val="16"/>
                <w:lang w:eastAsia="en-AU"/>
              </w:rPr>
              <w:t>CCA ASSESSMENT CRITERIA</w:t>
            </w:r>
          </w:p>
        </w:tc>
        <w:tc>
          <w:tcPr>
            <w:tcW w:w="7080" w:type="dxa"/>
            <w:shd w:val="clear" w:color="auto" w:fill="159DCE"/>
          </w:tcPr>
          <w:p w14:paraId="3891E136" w14:textId="77777777" w:rsidR="00195178" w:rsidRPr="0038754B" w:rsidRDefault="00195178" w:rsidP="00195178">
            <w:pPr>
              <w:rPr>
                <w:b/>
                <w:color w:val="FFFFFF" w:themeColor="background1"/>
                <w:sz w:val="16"/>
                <w:szCs w:val="16"/>
                <w:lang w:eastAsia="en-AU"/>
              </w:rPr>
            </w:pPr>
            <w:r w:rsidRPr="0038754B">
              <w:rPr>
                <w:b/>
                <w:color w:val="FFFFFF" w:themeColor="background1"/>
                <w:sz w:val="16"/>
                <w:szCs w:val="16"/>
                <w:lang w:eastAsia="en-AU"/>
              </w:rPr>
              <w:t>ERF TRANSITION</w:t>
            </w:r>
          </w:p>
        </w:tc>
      </w:tr>
      <w:tr w:rsidR="00195178" w:rsidRPr="0038754B" w14:paraId="554F46CE" w14:textId="77777777" w:rsidTr="00195178">
        <w:trPr>
          <w:cnfStyle w:val="000000100000" w:firstRow="0" w:lastRow="0" w:firstColumn="0" w:lastColumn="0" w:oddVBand="0" w:evenVBand="0" w:oddHBand="1" w:evenHBand="0" w:firstRowFirstColumn="0" w:firstRowLastColumn="0" w:lastRowFirstColumn="0" w:lastRowLastColumn="0"/>
        </w:trPr>
        <w:tc>
          <w:tcPr>
            <w:tcW w:w="2122" w:type="dxa"/>
            <w:tcBorders>
              <w:bottom w:val="dotted" w:sz="4" w:space="0" w:color="auto"/>
            </w:tcBorders>
          </w:tcPr>
          <w:p w14:paraId="06C2773C" w14:textId="77777777" w:rsidR="00195178" w:rsidRPr="0038754B" w:rsidRDefault="00195178" w:rsidP="00195178">
            <w:pPr>
              <w:rPr>
                <w:b/>
                <w:sz w:val="16"/>
                <w:szCs w:val="16"/>
                <w:lang w:eastAsia="en-AU"/>
              </w:rPr>
            </w:pPr>
            <w:r w:rsidRPr="0038754B">
              <w:rPr>
                <w:sz w:val="16"/>
                <w:szCs w:val="16"/>
                <w:lang w:eastAsia="en-AU"/>
              </w:rPr>
              <w:t>Economic efficiency</w:t>
            </w:r>
          </w:p>
        </w:tc>
        <w:tc>
          <w:tcPr>
            <w:tcW w:w="7080" w:type="dxa"/>
            <w:tcBorders>
              <w:bottom w:val="dotted" w:sz="4" w:space="0" w:color="auto"/>
            </w:tcBorders>
          </w:tcPr>
          <w:p w14:paraId="6D64FCC1" w14:textId="77777777" w:rsidR="00195178" w:rsidRPr="0038754B" w:rsidRDefault="00195178" w:rsidP="00195178">
            <w:pPr>
              <w:rPr>
                <w:sz w:val="16"/>
                <w:szCs w:val="16"/>
                <w:lang w:eastAsia="en-AU"/>
              </w:rPr>
            </w:pPr>
            <w:r w:rsidRPr="0038754B">
              <w:rPr>
                <w:sz w:val="16"/>
                <w:szCs w:val="16"/>
                <w:lang w:eastAsia="en-AU"/>
              </w:rPr>
              <w:t xml:space="preserve">Policy changes on the ERF are communicated well in advance to: </w:t>
            </w:r>
          </w:p>
          <w:p w14:paraId="56416EA6" w14:textId="18ED4E77" w:rsidR="00195178" w:rsidRPr="0038754B" w:rsidRDefault="00BC6774" w:rsidP="00D81FC8">
            <w:pPr>
              <w:ind w:left="180"/>
              <w:rPr>
                <w:sz w:val="16"/>
                <w:szCs w:val="16"/>
                <w:lang w:eastAsia="en-AU"/>
              </w:rPr>
            </w:pPr>
            <w:r w:rsidRPr="0038754B">
              <w:rPr>
                <w:sz w:val="16"/>
                <w:szCs w:val="16"/>
                <w:lang w:eastAsia="en-AU"/>
              </w:rPr>
              <w:t xml:space="preserve">- </w:t>
            </w:r>
            <w:r w:rsidR="00195178" w:rsidRPr="0038754B">
              <w:rPr>
                <w:sz w:val="16"/>
                <w:szCs w:val="16"/>
                <w:lang w:eastAsia="en-AU"/>
              </w:rPr>
              <w:t xml:space="preserve">provide investment certainty and enable </w:t>
            </w:r>
            <w:r w:rsidR="006517B3">
              <w:rPr>
                <w:sz w:val="16"/>
                <w:szCs w:val="16"/>
                <w:lang w:eastAsia="en-AU"/>
              </w:rPr>
              <w:t>scheme</w:t>
            </w:r>
            <w:r w:rsidR="006517B3" w:rsidRPr="0038754B">
              <w:rPr>
                <w:sz w:val="16"/>
                <w:szCs w:val="16"/>
                <w:lang w:eastAsia="en-AU"/>
              </w:rPr>
              <w:t xml:space="preserve"> </w:t>
            </w:r>
            <w:r w:rsidR="00195178" w:rsidRPr="0038754B">
              <w:rPr>
                <w:sz w:val="16"/>
                <w:szCs w:val="16"/>
                <w:lang w:eastAsia="en-AU"/>
              </w:rPr>
              <w:t>participants to make effective decisions and investments for cost efficiency and environmental effectiveness;</w:t>
            </w:r>
          </w:p>
          <w:p w14:paraId="273EBDEF" w14:textId="77777777" w:rsidR="00195178" w:rsidRPr="0038754B" w:rsidRDefault="00BC6774" w:rsidP="00D81FC8">
            <w:pPr>
              <w:ind w:left="180"/>
              <w:rPr>
                <w:sz w:val="16"/>
                <w:szCs w:val="16"/>
                <w:lang w:eastAsia="en-AU"/>
              </w:rPr>
            </w:pPr>
            <w:r w:rsidRPr="0038754B">
              <w:rPr>
                <w:sz w:val="16"/>
                <w:szCs w:val="16"/>
                <w:lang w:eastAsia="en-AU"/>
              </w:rPr>
              <w:t xml:space="preserve">- </w:t>
            </w:r>
            <w:r w:rsidR="00195178" w:rsidRPr="0038754B">
              <w:rPr>
                <w:sz w:val="16"/>
                <w:szCs w:val="16"/>
                <w:lang w:eastAsia="en-AU"/>
              </w:rPr>
              <w:t>minimise the risk of stranded assets</w:t>
            </w:r>
            <w:r w:rsidR="00D81FC8" w:rsidRPr="0038754B">
              <w:rPr>
                <w:sz w:val="16"/>
                <w:szCs w:val="16"/>
                <w:lang w:eastAsia="en-AU"/>
              </w:rPr>
              <w:t>.</w:t>
            </w:r>
            <w:r w:rsidR="00195178" w:rsidRPr="0038754B">
              <w:rPr>
                <w:sz w:val="16"/>
                <w:szCs w:val="16"/>
                <w:lang w:eastAsia="en-AU"/>
              </w:rPr>
              <w:t xml:space="preserve"> </w:t>
            </w:r>
          </w:p>
          <w:p w14:paraId="21E567D2" w14:textId="77777777" w:rsidR="00195178" w:rsidRDefault="00195178" w:rsidP="00195178">
            <w:pPr>
              <w:rPr>
                <w:sz w:val="16"/>
                <w:szCs w:val="16"/>
                <w:lang w:eastAsia="en-AU"/>
              </w:rPr>
            </w:pPr>
            <w:r w:rsidRPr="0038754B">
              <w:rPr>
                <w:sz w:val="16"/>
                <w:szCs w:val="16"/>
                <w:lang w:eastAsia="en-AU"/>
              </w:rPr>
              <w:t>Using existing infrastructure and systems for example, for registering and monitoring offsets projects, can reduce costs and maintain the value of existing investments in these systems.</w:t>
            </w:r>
          </w:p>
          <w:p w14:paraId="2D093552" w14:textId="34096248" w:rsidR="00392484" w:rsidRPr="0038754B" w:rsidRDefault="00392484" w:rsidP="008030FE">
            <w:pPr>
              <w:rPr>
                <w:sz w:val="16"/>
                <w:szCs w:val="16"/>
                <w:lang w:eastAsia="en-AU"/>
              </w:rPr>
            </w:pPr>
            <w:r w:rsidRPr="0038754B">
              <w:rPr>
                <w:sz w:val="16"/>
                <w:szCs w:val="16"/>
                <w:lang w:eastAsia="en-AU"/>
              </w:rPr>
              <w:t xml:space="preserve">Providing investment signals for ERF projects will ensure supply of ACCUs if required. For example, with respect to </w:t>
            </w:r>
            <w:r>
              <w:rPr>
                <w:sz w:val="16"/>
                <w:szCs w:val="16"/>
                <w:lang w:eastAsia="en-AU"/>
              </w:rPr>
              <w:t xml:space="preserve">announcing policy on </w:t>
            </w:r>
            <w:r w:rsidRPr="0038754B">
              <w:rPr>
                <w:sz w:val="16"/>
                <w:szCs w:val="16"/>
                <w:lang w:eastAsia="en-AU"/>
              </w:rPr>
              <w:t>the future of the safeguard, the use of ACCUs under the National Energy Guarantee and clearly telegraphing future ERF auctions and funding will assist investment in ERF projects.</w:t>
            </w:r>
          </w:p>
        </w:tc>
      </w:tr>
      <w:tr w:rsidR="00195178" w:rsidRPr="0038754B" w14:paraId="5D34554A" w14:textId="77777777" w:rsidTr="00195178">
        <w:trPr>
          <w:cnfStyle w:val="000000010000" w:firstRow="0" w:lastRow="0" w:firstColumn="0" w:lastColumn="0" w:oddVBand="0" w:evenVBand="0" w:oddHBand="0" w:evenHBand="1" w:firstRowFirstColumn="0" w:firstRowLastColumn="0" w:lastRowFirstColumn="0" w:lastRowLastColumn="0"/>
        </w:trPr>
        <w:tc>
          <w:tcPr>
            <w:tcW w:w="2122" w:type="dxa"/>
            <w:tcBorders>
              <w:top w:val="dotted" w:sz="4" w:space="0" w:color="auto"/>
              <w:bottom w:val="dotted" w:sz="4" w:space="0" w:color="auto"/>
            </w:tcBorders>
          </w:tcPr>
          <w:p w14:paraId="5D5C39A1" w14:textId="77777777" w:rsidR="00195178" w:rsidRPr="0038754B" w:rsidRDefault="00195178" w:rsidP="00195178">
            <w:pPr>
              <w:rPr>
                <w:b/>
                <w:sz w:val="16"/>
                <w:szCs w:val="16"/>
                <w:lang w:eastAsia="en-AU"/>
              </w:rPr>
            </w:pPr>
            <w:r w:rsidRPr="0038754B">
              <w:rPr>
                <w:sz w:val="16"/>
                <w:szCs w:val="16"/>
                <w:lang w:eastAsia="en-AU"/>
              </w:rPr>
              <w:t>Environmental effectiveness</w:t>
            </w:r>
          </w:p>
        </w:tc>
        <w:tc>
          <w:tcPr>
            <w:tcW w:w="7080" w:type="dxa"/>
            <w:tcBorders>
              <w:top w:val="dotted" w:sz="4" w:space="0" w:color="auto"/>
              <w:bottom w:val="dotted" w:sz="4" w:space="0" w:color="auto"/>
            </w:tcBorders>
          </w:tcPr>
          <w:p w14:paraId="63664A0B" w14:textId="77777777" w:rsidR="00195178" w:rsidRPr="0038754B" w:rsidRDefault="00195178" w:rsidP="00195178">
            <w:pPr>
              <w:rPr>
                <w:sz w:val="16"/>
                <w:szCs w:val="16"/>
                <w:lang w:eastAsia="en-AU"/>
              </w:rPr>
            </w:pPr>
            <w:r w:rsidRPr="0038754B">
              <w:rPr>
                <w:sz w:val="16"/>
                <w:szCs w:val="16"/>
                <w:lang w:eastAsia="en-AU"/>
              </w:rPr>
              <w:t>Ensuring ACCUs represent genuine abatement as additionality changes over time.</w:t>
            </w:r>
          </w:p>
          <w:p w14:paraId="66336847" w14:textId="77777777" w:rsidR="00195178" w:rsidRPr="0038754B" w:rsidRDefault="00195178" w:rsidP="00195178">
            <w:pPr>
              <w:rPr>
                <w:sz w:val="16"/>
                <w:szCs w:val="16"/>
                <w:lang w:eastAsia="en-AU"/>
              </w:rPr>
            </w:pPr>
            <w:r w:rsidRPr="0038754B">
              <w:rPr>
                <w:sz w:val="16"/>
                <w:szCs w:val="16"/>
                <w:lang w:eastAsia="en-AU"/>
              </w:rPr>
              <w:t xml:space="preserve">New funding for research and development into new ERF methods in the land sector will maximise the extent of abatement available from the land sector and also reduce costs. </w:t>
            </w:r>
          </w:p>
        </w:tc>
      </w:tr>
      <w:tr w:rsidR="00195178" w:rsidRPr="0038754B" w14:paraId="5E952A13" w14:textId="77777777" w:rsidTr="00195178">
        <w:trPr>
          <w:cnfStyle w:val="000000100000" w:firstRow="0" w:lastRow="0" w:firstColumn="0" w:lastColumn="0" w:oddVBand="0" w:evenVBand="0" w:oddHBand="1" w:evenHBand="0" w:firstRowFirstColumn="0" w:firstRowLastColumn="0" w:lastRowFirstColumn="0" w:lastRowLastColumn="0"/>
        </w:trPr>
        <w:tc>
          <w:tcPr>
            <w:tcW w:w="2122" w:type="dxa"/>
            <w:tcBorders>
              <w:top w:val="dotted" w:sz="4" w:space="0" w:color="auto"/>
            </w:tcBorders>
          </w:tcPr>
          <w:p w14:paraId="3BB8EE7F" w14:textId="77777777" w:rsidR="00195178" w:rsidRPr="0038754B" w:rsidRDefault="00195178" w:rsidP="00195178">
            <w:pPr>
              <w:rPr>
                <w:b/>
                <w:sz w:val="16"/>
                <w:szCs w:val="16"/>
                <w:lang w:eastAsia="en-AU"/>
              </w:rPr>
            </w:pPr>
            <w:r w:rsidRPr="0038754B">
              <w:rPr>
                <w:sz w:val="16"/>
                <w:szCs w:val="16"/>
                <w:lang w:eastAsia="en-AU"/>
              </w:rPr>
              <w:t>Equity</w:t>
            </w:r>
          </w:p>
        </w:tc>
        <w:tc>
          <w:tcPr>
            <w:tcW w:w="7080" w:type="dxa"/>
            <w:tcBorders>
              <w:top w:val="dotted" w:sz="4" w:space="0" w:color="auto"/>
            </w:tcBorders>
          </w:tcPr>
          <w:p w14:paraId="40A24638" w14:textId="5EA42D16" w:rsidR="00195178" w:rsidRPr="0038754B" w:rsidRDefault="00195178" w:rsidP="00195178">
            <w:pPr>
              <w:rPr>
                <w:sz w:val="16"/>
                <w:szCs w:val="16"/>
                <w:lang w:eastAsia="en-AU"/>
              </w:rPr>
            </w:pPr>
            <w:r w:rsidRPr="0038754B">
              <w:rPr>
                <w:sz w:val="16"/>
                <w:szCs w:val="16"/>
                <w:lang w:eastAsia="en-AU"/>
              </w:rPr>
              <w:t xml:space="preserve">Treat stakeholders in a consistent manner and be cognisant </w:t>
            </w:r>
            <w:r w:rsidR="00421C81">
              <w:rPr>
                <w:sz w:val="16"/>
                <w:szCs w:val="16"/>
                <w:lang w:eastAsia="en-AU"/>
              </w:rPr>
              <w:t>i</w:t>
            </w:r>
            <w:r w:rsidRPr="0038754B">
              <w:rPr>
                <w:sz w:val="16"/>
                <w:szCs w:val="16"/>
                <w:lang w:eastAsia="en-AU"/>
              </w:rPr>
              <w:t xml:space="preserve">f costs fall disproportionately on particular groups. </w:t>
            </w:r>
          </w:p>
          <w:p w14:paraId="2C6CA225" w14:textId="1B57477C" w:rsidR="00195178" w:rsidRPr="0038754B" w:rsidRDefault="00195178" w:rsidP="00D81FC8">
            <w:pPr>
              <w:rPr>
                <w:sz w:val="16"/>
                <w:szCs w:val="16"/>
                <w:lang w:eastAsia="en-AU"/>
              </w:rPr>
            </w:pPr>
            <w:r w:rsidRPr="0038754B">
              <w:rPr>
                <w:sz w:val="16"/>
                <w:szCs w:val="16"/>
                <w:lang w:eastAsia="en-AU"/>
              </w:rPr>
              <w:t xml:space="preserve">Consider how any changes treat new entrants compared to existing </w:t>
            </w:r>
            <w:r w:rsidR="006517B3">
              <w:rPr>
                <w:sz w:val="16"/>
                <w:szCs w:val="16"/>
                <w:lang w:eastAsia="en-AU"/>
              </w:rPr>
              <w:t>scheme</w:t>
            </w:r>
            <w:r w:rsidR="006517B3" w:rsidRPr="0038754B">
              <w:rPr>
                <w:sz w:val="16"/>
                <w:szCs w:val="16"/>
                <w:lang w:eastAsia="en-AU"/>
              </w:rPr>
              <w:t xml:space="preserve"> </w:t>
            </w:r>
            <w:r w:rsidRPr="0038754B">
              <w:rPr>
                <w:sz w:val="16"/>
                <w:szCs w:val="16"/>
                <w:lang w:eastAsia="en-AU"/>
              </w:rPr>
              <w:t xml:space="preserve">participants, and consult </w:t>
            </w:r>
            <w:r w:rsidR="00D81FC8" w:rsidRPr="0038754B">
              <w:rPr>
                <w:sz w:val="16"/>
                <w:szCs w:val="16"/>
                <w:lang w:eastAsia="en-AU"/>
              </w:rPr>
              <w:t xml:space="preserve">key </w:t>
            </w:r>
            <w:r w:rsidRPr="0038754B">
              <w:rPr>
                <w:sz w:val="16"/>
                <w:szCs w:val="16"/>
                <w:lang w:eastAsia="en-AU"/>
              </w:rPr>
              <w:t>stakeholders before changes are made.</w:t>
            </w:r>
          </w:p>
        </w:tc>
      </w:tr>
    </w:tbl>
    <w:p w14:paraId="1B7C036E" w14:textId="77777777" w:rsidR="0016541E" w:rsidRPr="0038754B" w:rsidRDefault="0016541E" w:rsidP="00BA3BB8">
      <w:bookmarkStart w:id="1798" w:name="_Toc497819533"/>
    </w:p>
    <w:p w14:paraId="7F9C5558" w14:textId="77777777" w:rsidR="0016541E" w:rsidRPr="0038754B" w:rsidRDefault="0016541E" w:rsidP="004E011A">
      <w:pPr>
        <w:rPr>
          <w:color w:val="159DCE"/>
        </w:rPr>
      </w:pPr>
      <w:r w:rsidRPr="0038754B">
        <w:br w:type="page"/>
      </w:r>
    </w:p>
    <w:p w14:paraId="2B830EA0" w14:textId="77777777" w:rsidR="00A53C41" w:rsidRPr="0002132E" w:rsidRDefault="00A53C41" w:rsidP="000069F2">
      <w:pPr>
        <w:pStyle w:val="Heading1"/>
        <w:numPr>
          <w:ilvl w:val="0"/>
          <w:numId w:val="44"/>
        </w:numPr>
      </w:pPr>
      <w:bookmarkStart w:id="1799" w:name="_Toc498691602"/>
      <w:bookmarkStart w:id="1800" w:name="_Toc499043781"/>
      <w:bookmarkStart w:id="1801" w:name="_Toc499051806"/>
      <w:bookmarkStart w:id="1802" w:name="_Toc500251159"/>
      <w:bookmarkStart w:id="1803" w:name="_Toc500251434"/>
      <w:bookmarkStart w:id="1804" w:name="_Toc500254031"/>
      <w:bookmarkStart w:id="1805" w:name="_Toc500401538"/>
      <w:bookmarkStart w:id="1806" w:name="_Toc500491026"/>
      <w:bookmarkStart w:id="1807" w:name="_Toc500512963"/>
      <w:bookmarkStart w:id="1808" w:name="_Toc500514223"/>
      <w:bookmarkStart w:id="1809" w:name="_Toc500516275"/>
      <w:r w:rsidRPr="0002132E">
        <w:t>Conclusion</w:t>
      </w:r>
      <w:bookmarkEnd w:id="1798"/>
      <w:bookmarkEnd w:id="1799"/>
      <w:bookmarkEnd w:id="1800"/>
      <w:bookmarkEnd w:id="1801"/>
      <w:bookmarkEnd w:id="1802"/>
      <w:bookmarkEnd w:id="1803"/>
      <w:bookmarkEnd w:id="1804"/>
      <w:bookmarkEnd w:id="1805"/>
      <w:bookmarkEnd w:id="1806"/>
      <w:bookmarkEnd w:id="1807"/>
      <w:bookmarkEnd w:id="1808"/>
      <w:bookmarkEnd w:id="1809"/>
    </w:p>
    <w:p w14:paraId="5DD4DB20" w14:textId="037EFF55" w:rsidR="00A53C41" w:rsidRPr="0038754B" w:rsidRDefault="00A53C41" w:rsidP="00A53C41">
      <w:r w:rsidRPr="0038754B">
        <w:t>This review has found that the E</w:t>
      </w:r>
      <w:r w:rsidR="009C3F77">
        <w:t xml:space="preserve">missions </w:t>
      </w:r>
      <w:r w:rsidRPr="0038754B">
        <w:t>R</w:t>
      </w:r>
      <w:r w:rsidR="009C3F77">
        <w:t xml:space="preserve">eduction </w:t>
      </w:r>
      <w:r w:rsidRPr="0038754B">
        <w:t>F</w:t>
      </w:r>
      <w:r w:rsidR="009C3F77">
        <w:t>und (ERF)</w:t>
      </w:r>
      <w:r w:rsidRPr="0038754B">
        <w:t xml:space="preserve"> is generally performing well. It has successfully incentivised new domestic abatement at low cost that will help contribute to Australia meeting its international commitments. Just as important, it has also developed and implemented effective administrative arrangements for crediting robust abatement from sectors across the economy. In addition</w:t>
      </w:r>
      <w:r w:rsidR="00D81FC8" w:rsidRPr="0038754B">
        <w:t>,</w:t>
      </w:r>
      <w:r w:rsidRPr="0038754B">
        <w:t xml:space="preserve"> the ERF has effective compliance architecture that supports both the crediting and purchasing arms of the measure.</w:t>
      </w:r>
    </w:p>
    <w:p w14:paraId="49E75402" w14:textId="7E5E2C52" w:rsidR="00A53C41" w:rsidRPr="0038754B" w:rsidRDefault="00D81FC8" w:rsidP="00A53C41">
      <w:r w:rsidRPr="0038754B">
        <w:t>This is no small feat:</w:t>
      </w:r>
      <w:r w:rsidR="00A53C41" w:rsidRPr="0038754B">
        <w:t xml:space="preserve"> </w:t>
      </w:r>
      <w:r w:rsidRPr="0038754B">
        <w:t>e</w:t>
      </w:r>
      <w:r w:rsidR="00A53C41" w:rsidRPr="0038754B">
        <w:t xml:space="preserve">stablishing a robust approach to emissions reduction offsets is challenging given the complex blend of policy and administrative judgement, highly technical considerations for emissions estimation </w:t>
      </w:r>
      <w:r w:rsidR="00A53C41" w:rsidRPr="0038754B" w:rsidDel="00CD124E">
        <w:t xml:space="preserve">and </w:t>
      </w:r>
      <w:r w:rsidR="00A53C41" w:rsidRPr="0038754B">
        <w:t>the need for timely and efficient stakeholder and client service.</w:t>
      </w:r>
    </w:p>
    <w:p w14:paraId="4A8EB475" w14:textId="77777777" w:rsidR="00A53C41" w:rsidRPr="0038754B" w:rsidRDefault="00A53C41" w:rsidP="00A53C41">
      <w:r w:rsidRPr="0038754B">
        <w:t>The Authority has identified some risks for the ERF. On the purchasing side, the main risk appears to be that the measure may not deliver as much domestic abatement as anticipated. This risk could eventuate if policy uncertainty causes an investment chill for new projects, a low auction price drives low levels of uptake in some sectors and a lack of transparency in the secondary market hampers its ability to create an investment signal if shortfalls in supply emerge.</w:t>
      </w:r>
    </w:p>
    <w:p w14:paraId="5FADBD46" w14:textId="7DD74E0B" w:rsidR="00A53C41" w:rsidRPr="0038754B" w:rsidRDefault="00A53C41" w:rsidP="00A53C41">
      <w:r w:rsidRPr="0038754B">
        <w:t xml:space="preserve">The potential for the reversal of carbon </w:t>
      </w:r>
      <w:r w:rsidR="006E66F3" w:rsidRPr="0038754B">
        <w:t>that will be</w:t>
      </w:r>
      <w:r w:rsidR="00643285" w:rsidRPr="0038754B">
        <w:t xml:space="preserve"> </w:t>
      </w:r>
      <w:r w:rsidRPr="0038754B">
        <w:t xml:space="preserve">stored in the </w:t>
      </w:r>
      <w:r w:rsidR="00643285" w:rsidRPr="0038754B">
        <w:t xml:space="preserve">139 </w:t>
      </w:r>
      <w:r w:rsidRPr="0038754B">
        <w:t xml:space="preserve">million tonnes of vegetation and other </w:t>
      </w:r>
      <w:r w:rsidR="00421C81">
        <w:t>soil</w:t>
      </w:r>
      <w:r w:rsidR="00421C81" w:rsidRPr="0038754B">
        <w:t xml:space="preserve"> </w:t>
      </w:r>
      <w:r w:rsidRPr="0038754B">
        <w:t xml:space="preserve">projects in the scheme is a significant risk. The Authority is of the view that the </w:t>
      </w:r>
      <w:r w:rsidR="009C3F77">
        <w:t>Clean Energy Regulator (</w:t>
      </w:r>
      <w:r w:rsidRPr="0038754B">
        <w:t>CER</w:t>
      </w:r>
      <w:r w:rsidR="009C3F77">
        <w:t>)</w:t>
      </w:r>
      <w:r w:rsidRPr="0038754B">
        <w:t xml:space="preserve"> is on the right track in its approach. The key to managing permanence is twofold: firstly that all potential </w:t>
      </w:r>
      <w:r w:rsidR="007E5547" w:rsidRPr="0038754B">
        <w:t xml:space="preserve">scheme participants </w:t>
      </w:r>
      <w:r w:rsidRPr="0038754B">
        <w:t xml:space="preserve">are as aware as they can possibly be of the nature and timeframe of the obligation they are taking on, and secondly that the CER is very clear about its willingness to pursue </w:t>
      </w:r>
      <w:r w:rsidR="006517B3">
        <w:t>scheme</w:t>
      </w:r>
      <w:r w:rsidR="006517B3" w:rsidRPr="0038754B">
        <w:t xml:space="preserve"> </w:t>
      </w:r>
      <w:r w:rsidRPr="0038754B">
        <w:t xml:space="preserve">participants with vigour to enforce serious breaches of the scheme that result in a lack of permanence. </w:t>
      </w:r>
    </w:p>
    <w:p w14:paraId="27431F4A" w14:textId="47D9F528" w:rsidR="00A53C41" w:rsidRPr="0038754B" w:rsidRDefault="00A53C41" w:rsidP="00A53C41">
      <w:r w:rsidRPr="0038754B">
        <w:t xml:space="preserve">On the crediting side, the perennial risk is that the methods and resulting projects fall short of the ERF’s offsets integrity standards, particularly for additionality. While there is scope for some continuous improvement with respect to additionality in the case of individual methods, the Authority has seen </w:t>
      </w:r>
      <w:r w:rsidR="009B5135">
        <w:t xml:space="preserve">no </w:t>
      </w:r>
      <w:r w:rsidRPr="0038754B">
        <w:t>evidence that a lack of additionality is a widespread problem across the scheme.</w:t>
      </w:r>
    </w:p>
    <w:p w14:paraId="55143332" w14:textId="5A623610" w:rsidR="00A53C41" w:rsidRPr="0038754B" w:rsidRDefault="00A53C41" w:rsidP="00A53C41">
      <w:r w:rsidRPr="0038754B">
        <w:t xml:space="preserve">The Authority considers that the </w:t>
      </w:r>
      <w:r w:rsidR="009C3F77">
        <w:t>Emissions Reduction Assurance Committee (</w:t>
      </w:r>
      <w:r w:rsidRPr="0038754B">
        <w:t>ERAC</w:t>
      </w:r>
      <w:r w:rsidR="009C3F77">
        <w:t>)</w:t>
      </w:r>
      <w:r w:rsidRPr="0038754B">
        <w:t xml:space="preserve"> plays a vital role as the gate-keeper of the ERF’s integrity and encourages the Committee to be vigilant in acting as a critical friend to the scheme. The ERAC’s method reviews will be a key vehicle for ensuring that methods and projects remain additional as the scheme matures and projects and methods come up for a possible extension of their crediting periods.</w:t>
      </w:r>
    </w:p>
    <w:p w14:paraId="02FCF2CA" w14:textId="04C0F76E" w:rsidR="00590755" w:rsidRPr="0038754B" w:rsidRDefault="00A53C41" w:rsidP="00A53C41">
      <w:r w:rsidRPr="0038754B">
        <w:t>The Authority remains of the view that ERF purchasing of emissions reductions will need to perform less of Australia’s emissions reduction task over time</w:t>
      </w:r>
      <w:r w:rsidR="00EF5759" w:rsidRPr="0038754B">
        <w:t>.</w:t>
      </w:r>
      <w:r w:rsidRPr="0038754B">
        <w:t xml:space="preserve"> </w:t>
      </w:r>
      <w:r w:rsidR="00EF5759" w:rsidRPr="0038754B">
        <w:t>O</w:t>
      </w:r>
      <w:r w:rsidRPr="0038754B">
        <w:t>ther policies will need to take up the challenge of decarbonising Australia’s economy</w:t>
      </w:r>
      <w:r w:rsidR="00EF5759" w:rsidRPr="0038754B">
        <w:t xml:space="preserve"> to deliver structural change</w:t>
      </w:r>
      <w:r w:rsidRPr="0038754B">
        <w:t>. That said, the investment by both Government and the private sector in offsets for the land through the C</w:t>
      </w:r>
      <w:r w:rsidR="009C3F77">
        <w:t xml:space="preserve">arbon </w:t>
      </w:r>
      <w:r w:rsidRPr="0038754B">
        <w:t>F</w:t>
      </w:r>
      <w:r w:rsidR="009C3F77">
        <w:t xml:space="preserve">arming </w:t>
      </w:r>
      <w:r w:rsidRPr="0038754B">
        <w:t>I</w:t>
      </w:r>
      <w:r w:rsidR="009C3F77">
        <w:t>nitiative</w:t>
      </w:r>
      <w:r w:rsidRPr="0038754B">
        <w:t xml:space="preserve"> and then the ERF is a substantial investment and should be built on as part of the policy toolkit Australia needs to meet its Paris </w:t>
      </w:r>
      <w:r w:rsidR="005E7F48">
        <w:t xml:space="preserve">Agreement </w:t>
      </w:r>
      <w:r w:rsidRPr="0038754B" w:rsidDel="0096770F">
        <w:t>goals</w:t>
      </w:r>
      <w:r w:rsidRPr="0038754B">
        <w:t>.</w:t>
      </w:r>
    </w:p>
    <w:p w14:paraId="0876686F" w14:textId="77777777" w:rsidR="00770A24" w:rsidRDefault="00770A24" w:rsidP="00590755">
      <w:pPr>
        <w:sectPr w:rsidR="00770A24" w:rsidSect="003D7714">
          <w:headerReference w:type="even" r:id="rId33"/>
          <w:headerReference w:type="default" r:id="rId34"/>
          <w:type w:val="continuous"/>
          <w:pgSz w:w="11906" w:h="16838"/>
          <w:pgMar w:top="1418" w:right="1276" w:bottom="567" w:left="1418" w:header="425" w:footer="425" w:gutter="0"/>
          <w:cols w:space="708"/>
          <w:titlePg/>
          <w:docGrid w:linePitch="360"/>
        </w:sectPr>
      </w:pPr>
    </w:p>
    <w:p w14:paraId="3CFAD8E5" w14:textId="508B3B7F" w:rsidR="00590755" w:rsidRPr="0038754B" w:rsidRDefault="00590755" w:rsidP="00590755"/>
    <w:p w14:paraId="7E5F94CB" w14:textId="77777777" w:rsidR="00590755" w:rsidRPr="0038754B" w:rsidRDefault="00590755" w:rsidP="00590755"/>
    <w:p w14:paraId="33DC2B27" w14:textId="77777777" w:rsidR="00957622" w:rsidRPr="0038754B" w:rsidRDefault="00957622" w:rsidP="00BA3BB8">
      <w:pPr>
        <w:pStyle w:val="Heading1nonumber"/>
      </w:pPr>
      <w:bookmarkStart w:id="1810" w:name="_Toc491872765"/>
      <w:bookmarkStart w:id="1811" w:name="_Toc497819534"/>
      <w:bookmarkStart w:id="1812" w:name="_Toc498691603"/>
      <w:bookmarkStart w:id="1813" w:name="_Toc499043782"/>
      <w:bookmarkStart w:id="1814" w:name="_Toc499051807"/>
      <w:bookmarkStart w:id="1815" w:name="_Toc500251160"/>
      <w:bookmarkStart w:id="1816" w:name="_Toc500251435"/>
      <w:bookmarkStart w:id="1817" w:name="_Toc500254032"/>
      <w:bookmarkStart w:id="1818" w:name="_Toc500401539"/>
      <w:bookmarkStart w:id="1819" w:name="_Toc500491027"/>
      <w:bookmarkStart w:id="1820" w:name="_Toc500512964"/>
      <w:bookmarkStart w:id="1821" w:name="_Toc500514224"/>
      <w:bookmarkStart w:id="1822" w:name="_Toc500516276"/>
      <w:r w:rsidRPr="0038754B">
        <w:t>Appendix A: Guiding principles for this review</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2070574E" w14:textId="77C503D3" w:rsidR="00957622" w:rsidRPr="0038754B" w:rsidRDefault="00957622" w:rsidP="00957622">
      <w:r w:rsidRPr="0038754B">
        <w:t xml:space="preserve">The principles established in the </w:t>
      </w:r>
      <w:r w:rsidRPr="0038754B">
        <w:rPr>
          <w:i/>
        </w:rPr>
        <w:t>Climate Change Authority Act 2011</w:t>
      </w:r>
      <w:r w:rsidRPr="0038754B">
        <w:t xml:space="preserve"> </w:t>
      </w:r>
      <w:r w:rsidR="009C3F77">
        <w:t xml:space="preserve">(Cth) </w:t>
      </w:r>
      <w:r w:rsidRPr="0038754B">
        <w:t>guide all of the Authority’s work. These include that measures to respond to climate change should:</w:t>
      </w:r>
    </w:p>
    <w:p w14:paraId="10D2008A" w14:textId="77777777" w:rsidR="00957622" w:rsidRPr="0038754B" w:rsidRDefault="00957622" w:rsidP="00AC7279">
      <w:pPr>
        <w:pStyle w:val="ListBullet"/>
      </w:pPr>
      <w:r w:rsidRPr="0038754B">
        <w:t>be economically efficient, environmentally effective, equitable and in the public interest</w:t>
      </w:r>
    </w:p>
    <w:p w14:paraId="636B6042" w14:textId="77777777" w:rsidR="00957622" w:rsidRPr="0038754B" w:rsidRDefault="00957622" w:rsidP="00AC7279">
      <w:pPr>
        <w:pStyle w:val="ListBullet"/>
      </w:pPr>
      <w:r w:rsidRPr="0038754B">
        <w:t>support the development of an effective global response to climate change, and be consistent with Australia’s foreign policy and trade objectives</w:t>
      </w:r>
    </w:p>
    <w:p w14:paraId="2958B1AC" w14:textId="77777777" w:rsidR="00957622" w:rsidRPr="0038754B" w:rsidRDefault="00957622" w:rsidP="00AC7279">
      <w:pPr>
        <w:pStyle w:val="ListBullet"/>
      </w:pPr>
      <w:r w:rsidRPr="0038754B">
        <w:t>take account of the impact on households, businesses, workers and communities.</w:t>
      </w:r>
    </w:p>
    <w:p w14:paraId="4AA4EA53" w14:textId="44C7A49C" w:rsidR="00957622" w:rsidRPr="0038754B" w:rsidRDefault="00957622" w:rsidP="00957622">
      <w:r w:rsidRPr="0038754B">
        <w:t xml:space="preserve">The objects of the </w:t>
      </w:r>
      <w:r w:rsidRPr="00E55312">
        <w:rPr>
          <w:i/>
        </w:rPr>
        <w:t>C</w:t>
      </w:r>
      <w:r w:rsidR="009C3F77" w:rsidRPr="00E55312">
        <w:rPr>
          <w:i/>
        </w:rPr>
        <w:t xml:space="preserve">arbon Credits (Carbon </w:t>
      </w:r>
      <w:r w:rsidRPr="00E55312">
        <w:rPr>
          <w:i/>
        </w:rPr>
        <w:t>F</w:t>
      </w:r>
      <w:r w:rsidR="009C3F77" w:rsidRPr="00E55312">
        <w:rPr>
          <w:i/>
        </w:rPr>
        <w:t xml:space="preserve">arming </w:t>
      </w:r>
      <w:r w:rsidRPr="00E55312">
        <w:rPr>
          <w:i/>
        </w:rPr>
        <w:t>I</w:t>
      </w:r>
      <w:r w:rsidR="009C3F77" w:rsidRPr="00E55312">
        <w:rPr>
          <w:i/>
        </w:rPr>
        <w:t>nitiative)</w:t>
      </w:r>
      <w:r w:rsidRPr="00E55312">
        <w:rPr>
          <w:i/>
        </w:rPr>
        <w:t xml:space="preserve"> Act</w:t>
      </w:r>
      <w:r w:rsidR="009C3F77" w:rsidRPr="00E55312">
        <w:rPr>
          <w:i/>
        </w:rPr>
        <w:t xml:space="preserve"> 2011</w:t>
      </w:r>
      <w:r w:rsidR="009C3F77">
        <w:t xml:space="preserve"> (Cth)</w:t>
      </w:r>
      <w:r w:rsidRPr="0038754B">
        <w:t xml:space="preserve"> provide specific direction for this review. The objects are to:</w:t>
      </w:r>
    </w:p>
    <w:p w14:paraId="33BE6000" w14:textId="77777777" w:rsidR="00957622" w:rsidRPr="0038754B" w:rsidRDefault="00957622" w:rsidP="00AC7279">
      <w:pPr>
        <w:pStyle w:val="ListBullet"/>
      </w:pPr>
      <w:r w:rsidRPr="0038754B">
        <w:t>remove greenhouse gases from the atmosphere, and avoid emissions of greenhouse gases, in order to meet Australia’s obligations under international agreements</w:t>
      </w:r>
    </w:p>
    <w:p w14:paraId="29759E6B" w14:textId="77777777" w:rsidR="00957622" w:rsidRPr="0038754B" w:rsidRDefault="00957622" w:rsidP="00AC7279">
      <w:pPr>
        <w:pStyle w:val="ListBullet"/>
      </w:pPr>
      <w:r w:rsidRPr="0038754B">
        <w:t>create incentives for people to carry on offset projects</w:t>
      </w:r>
    </w:p>
    <w:p w14:paraId="204B2E1D" w14:textId="77777777" w:rsidR="00957622" w:rsidRPr="0038754B" w:rsidRDefault="00957622" w:rsidP="00AC7279">
      <w:pPr>
        <w:pStyle w:val="ListBullet"/>
      </w:pPr>
      <w:r w:rsidRPr="0038754B">
        <w:t>increase emissions reductions in a way that protects Australia’s natural environment and improves resilience to the effects of climate change</w:t>
      </w:r>
    </w:p>
    <w:p w14:paraId="7F34CDB2" w14:textId="77777777" w:rsidR="00D6496C" w:rsidRPr="0038754B" w:rsidRDefault="00957622" w:rsidP="00AC7279">
      <w:pPr>
        <w:pStyle w:val="ListBullet"/>
      </w:pPr>
      <w:r w:rsidRPr="0038754B">
        <w:t>authorise the purchase by the Commonwealth of units that represent emissions reductions.</w:t>
      </w:r>
    </w:p>
    <w:p w14:paraId="27C42A97" w14:textId="77777777" w:rsidR="00D6496C" w:rsidRPr="0038754B" w:rsidRDefault="00D6496C">
      <w:pPr>
        <w:spacing w:after="0" w:line="240" w:lineRule="auto"/>
      </w:pPr>
      <w:r w:rsidRPr="0038754B">
        <w:br w:type="page"/>
      </w:r>
    </w:p>
    <w:p w14:paraId="2BA29F53" w14:textId="79E0F4D9" w:rsidR="00D6496C" w:rsidRPr="0038754B" w:rsidRDefault="00D6496C" w:rsidP="00BA3BB8">
      <w:pPr>
        <w:pStyle w:val="Heading1nonumber"/>
      </w:pPr>
      <w:bookmarkStart w:id="1823" w:name="_Toc498691604"/>
      <w:bookmarkStart w:id="1824" w:name="_Toc499043783"/>
      <w:bookmarkStart w:id="1825" w:name="_Toc499051808"/>
      <w:bookmarkStart w:id="1826" w:name="_Toc500251161"/>
      <w:bookmarkStart w:id="1827" w:name="_Toc500251436"/>
      <w:bookmarkStart w:id="1828" w:name="_Toc500254033"/>
      <w:bookmarkStart w:id="1829" w:name="_Toc500401540"/>
      <w:bookmarkStart w:id="1830" w:name="_Toc500491028"/>
      <w:bookmarkStart w:id="1831" w:name="_Toc500512965"/>
      <w:bookmarkStart w:id="1832" w:name="_Toc500514225"/>
      <w:bookmarkStart w:id="1833" w:name="_Toc500516277"/>
      <w:r w:rsidRPr="0038754B">
        <w:t xml:space="preserve">Appendix B: </w:t>
      </w:r>
      <w:r w:rsidR="00517703">
        <w:t>P</w:t>
      </w:r>
      <w:r w:rsidR="00517703" w:rsidRPr="0038754B">
        <w:t xml:space="preserve">ublic </w:t>
      </w:r>
      <w:r w:rsidRPr="0038754B">
        <w:t>consultations</w:t>
      </w:r>
      <w:bookmarkEnd w:id="1823"/>
      <w:bookmarkEnd w:id="1824"/>
      <w:bookmarkEnd w:id="1825"/>
      <w:bookmarkEnd w:id="1826"/>
      <w:bookmarkEnd w:id="1827"/>
      <w:bookmarkEnd w:id="1828"/>
      <w:bookmarkEnd w:id="1829"/>
      <w:bookmarkEnd w:id="1830"/>
      <w:bookmarkEnd w:id="1831"/>
      <w:bookmarkEnd w:id="1832"/>
      <w:bookmarkEnd w:id="1833"/>
      <w:r w:rsidRPr="0038754B">
        <w:t xml:space="preserve"> </w:t>
      </w:r>
    </w:p>
    <w:p w14:paraId="18C6FD09" w14:textId="77777777" w:rsidR="00D6496C" w:rsidRPr="0038754B" w:rsidRDefault="00D6496C" w:rsidP="00D6496C">
      <w:r w:rsidRPr="0038754B">
        <w:t xml:space="preserve">The Authority conducts public consultations for all of its reviews. </w:t>
      </w:r>
    </w:p>
    <w:p w14:paraId="24E5F97E" w14:textId="77777777" w:rsidR="00D6496C" w:rsidRPr="0038754B" w:rsidRDefault="00D6496C" w:rsidP="00D6496C">
      <w:r w:rsidRPr="0038754B">
        <w:t xml:space="preserve">Throughout this review, the Authority consulted with a wide range of interested parties including industry, non-government organisations, research and development corporations, Indigenous groups, academics and Commonwealth and state and territory government organisations. </w:t>
      </w:r>
    </w:p>
    <w:p w14:paraId="25A12B98" w14:textId="79BD23C7" w:rsidR="00D6496C" w:rsidRPr="0038754B" w:rsidRDefault="00D6496C" w:rsidP="00D6496C">
      <w:r w:rsidRPr="0038754B">
        <w:t>On 31 August 2017, the Authority released a paper to facilitate consultation for this review. The Authority received 2</w:t>
      </w:r>
      <w:r w:rsidR="00746089">
        <w:t>8</w:t>
      </w:r>
      <w:r w:rsidRPr="0038754B">
        <w:t xml:space="preserve"> stakeholder submissions, </w:t>
      </w:r>
      <w:r w:rsidR="00746089">
        <w:t>four</w:t>
      </w:r>
      <w:r w:rsidR="009D7303" w:rsidRPr="0038754B">
        <w:t xml:space="preserve"> </w:t>
      </w:r>
      <w:r w:rsidRPr="0038754B">
        <w:t xml:space="preserve">of which were confidential. The </w:t>
      </w:r>
      <w:r w:rsidR="007D2CB6">
        <w:t>non-confidential</w:t>
      </w:r>
      <w:r w:rsidRPr="0038754B">
        <w:t xml:space="preserve"> submissions are available on the Authority’s website at </w:t>
      </w:r>
      <w:hyperlink r:id="rId35" w:history="1">
        <w:r w:rsidR="00725DE3" w:rsidRPr="00F77E27">
          <w:rPr>
            <w:rStyle w:val="Hyperlink"/>
          </w:rPr>
          <w:t>www.climatechangeauthority.gov.au/submissions</w:t>
        </w:r>
      </w:hyperlink>
      <w:r w:rsidR="005A703E">
        <w:rPr>
          <w:rStyle w:val="Hyperlink"/>
        </w:rPr>
        <w:t>/</w:t>
      </w:r>
      <w:r w:rsidR="005A703E" w:rsidRPr="005A703E">
        <w:rPr>
          <w:rStyle w:val="Hyperlink"/>
        </w:rPr>
        <w:t>submissions-received#oct2017</w:t>
      </w:r>
      <w:r w:rsidRPr="0038754B">
        <w:t>.</w:t>
      </w:r>
    </w:p>
    <w:p w14:paraId="3312315F" w14:textId="39D41407" w:rsidR="00D6496C" w:rsidRPr="0038754B" w:rsidRDefault="00D6496C" w:rsidP="00D6496C">
      <w:r w:rsidRPr="0038754B">
        <w:t xml:space="preserve">In the interests of efficiency, the Authority also drew on submissions to the </w:t>
      </w:r>
      <w:r w:rsidRPr="00E55312">
        <w:rPr>
          <w:i/>
        </w:rPr>
        <w:t>Action on the land: reducing emissions, conserving natural capital and improving farm profitability</w:t>
      </w:r>
      <w:r w:rsidRPr="0038754B">
        <w:t xml:space="preserve"> issues paper it released in March. The Authority also drew on submissions to the </w:t>
      </w:r>
      <w:r w:rsidRPr="0038754B" w:rsidDel="0096770F">
        <w:t xml:space="preserve">Department of the Environment and </w:t>
      </w:r>
      <w:r w:rsidRPr="0038754B">
        <w:t xml:space="preserve">Energy’s 2017 </w:t>
      </w:r>
      <w:r w:rsidR="00421C81">
        <w:t>r</w:t>
      </w:r>
      <w:r w:rsidRPr="0038754B">
        <w:t>eview of Australia’s climate change policies.</w:t>
      </w:r>
    </w:p>
    <w:p w14:paraId="5BFCEA78" w14:textId="77777777" w:rsidR="00D6496C" w:rsidRPr="0038754B" w:rsidRDefault="00D6496C" w:rsidP="00D6496C">
      <w:r w:rsidRPr="0038754B">
        <w:t>The Authority thanks all those that provided submissions or engaged with the Authority for this work.</w:t>
      </w:r>
    </w:p>
    <w:p w14:paraId="10BBD916" w14:textId="321FB418" w:rsidR="00D6496C" w:rsidRPr="0038754B" w:rsidRDefault="00D6496C" w:rsidP="00D6496C">
      <w:r w:rsidRPr="0038754B">
        <w:t xml:space="preserve">Organisations that made </w:t>
      </w:r>
      <w:r w:rsidR="007D2CB6">
        <w:t xml:space="preserve">non-confidential </w:t>
      </w:r>
      <w:r w:rsidRPr="0038754B">
        <w:t>submissions to this review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496C" w:rsidRPr="0038754B" w14:paraId="77330D3A" w14:textId="77777777" w:rsidTr="000A522E">
        <w:trPr>
          <w:cnfStyle w:val="100000000000" w:firstRow="1" w:lastRow="0" w:firstColumn="0" w:lastColumn="0" w:oddVBand="0" w:evenVBand="0" w:oddHBand="0" w:evenHBand="0" w:firstRowFirstColumn="0" w:firstRowLastColumn="0" w:lastRowFirstColumn="0" w:lastRowLastColumn="0"/>
          <w:trHeight w:val="567"/>
        </w:trPr>
        <w:tc>
          <w:tcPr>
            <w:tcW w:w="4606" w:type="dxa"/>
            <w:vAlign w:val="center"/>
          </w:tcPr>
          <w:p w14:paraId="1183CC27" w14:textId="77777777" w:rsidR="00D6496C" w:rsidRPr="0038754B" w:rsidRDefault="00D6496C" w:rsidP="00D6496C">
            <w:pPr>
              <w:pStyle w:val="ListBullet"/>
              <w:numPr>
                <w:ilvl w:val="0"/>
                <w:numId w:val="35"/>
              </w:numPr>
              <w:spacing w:after="60"/>
            </w:pPr>
            <w:r w:rsidRPr="0038754B">
              <w:t>AGL Energy</w:t>
            </w:r>
          </w:p>
        </w:tc>
        <w:tc>
          <w:tcPr>
            <w:tcW w:w="4606" w:type="dxa"/>
            <w:vAlign w:val="center"/>
          </w:tcPr>
          <w:p w14:paraId="083BBFA0" w14:textId="2F4BDDCA" w:rsidR="00D6496C" w:rsidRPr="0038754B" w:rsidRDefault="00D82E35" w:rsidP="00D6496C">
            <w:pPr>
              <w:pStyle w:val="ListBullet"/>
              <w:numPr>
                <w:ilvl w:val="0"/>
                <w:numId w:val="35"/>
              </w:numPr>
              <w:spacing w:after="60"/>
            </w:pPr>
            <w:r w:rsidRPr="0038754B">
              <w:t>Kimberley Land Council</w:t>
            </w:r>
          </w:p>
        </w:tc>
      </w:tr>
      <w:tr w:rsidR="00D82E35" w:rsidRPr="0038754B" w14:paraId="61ABA56D"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7C8F5B6F" w14:textId="77777777" w:rsidR="00D82E35" w:rsidRPr="0038754B" w:rsidRDefault="00D82E35" w:rsidP="00D82E35">
            <w:pPr>
              <w:pStyle w:val="ListBullet"/>
              <w:numPr>
                <w:ilvl w:val="0"/>
                <w:numId w:val="35"/>
              </w:numPr>
              <w:spacing w:after="60"/>
            </w:pPr>
            <w:r w:rsidRPr="0038754B">
              <w:t>Arnhem Land Fire Abatement (NT)</w:t>
            </w:r>
          </w:p>
        </w:tc>
        <w:tc>
          <w:tcPr>
            <w:tcW w:w="4606" w:type="dxa"/>
            <w:vAlign w:val="center"/>
          </w:tcPr>
          <w:p w14:paraId="22B3AAC9" w14:textId="066A729B" w:rsidR="00D82E35" w:rsidRPr="0038754B" w:rsidRDefault="00D82E35" w:rsidP="00D82E35">
            <w:pPr>
              <w:pStyle w:val="ListBullet"/>
              <w:numPr>
                <w:ilvl w:val="0"/>
                <w:numId w:val="35"/>
              </w:numPr>
              <w:spacing w:after="60"/>
            </w:pPr>
            <w:r w:rsidRPr="0038754B">
              <w:t>National Farmers' Federation</w:t>
            </w:r>
          </w:p>
        </w:tc>
      </w:tr>
      <w:tr w:rsidR="00D82E35" w:rsidRPr="0038754B" w14:paraId="0C9627E9" w14:textId="77777777" w:rsidTr="000A522E">
        <w:trPr>
          <w:cnfStyle w:val="000000010000" w:firstRow="0" w:lastRow="0" w:firstColumn="0" w:lastColumn="0" w:oddVBand="0" w:evenVBand="0" w:oddHBand="0" w:evenHBand="1" w:firstRowFirstColumn="0" w:firstRowLastColumn="0" w:lastRowFirstColumn="0" w:lastRowLastColumn="0"/>
          <w:trHeight w:val="567"/>
        </w:trPr>
        <w:tc>
          <w:tcPr>
            <w:tcW w:w="4606" w:type="dxa"/>
            <w:vAlign w:val="center"/>
          </w:tcPr>
          <w:p w14:paraId="10F64096" w14:textId="77777777" w:rsidR="00D82E35" w:rsidRPr="0038754B" w:rsidRDefault="00D82E35" w:rsidP="00D82E35">
            <w:pPr>
              <w:pStyle w:val="ListBullet"/>
              <w:numPr>
                <w:ilvl w:val="0"/>
                <w:numId w:val="35"/>
              </w:numPr>
              <w:spacing w:after="60"/>
            </w:pPr>
            <w:r w:rsidRPr="0038754B">
              <w:t>Australian Forest Products Association</w:t>
            </w:r>
          </w:p>
        </w:tc>
        <w:tc>
          <w:tcPr>
            <w:tcW w:w="4606" w:type="dxa"/>
            <w:vAlign w:val="center"/>
          </w:tcPr>
          <w:p w14:paraId="521862E1" w14:textId="7B48BE7F" w:rsidR="00D82E35" w:rsidRPr="0038754B" w:rsidRDefault="00D82E35" w:rsidP="00D82E35">
            <w:pPr>
              <w:pStyle w:val="ListBullet"/>
              <w:numPr>
                <w:ilvl w:val="0"/>
                <w:numId w:val="35"/>
              </w:numPr>
              <w:spacing w:after="60"/>
            </w:pPr>
            <w:r w:rsidRPr="0038754B">
              <w:t xml:space="preserve">National Waste and Recycling Industry Council </w:t>
            </w:r>
          </w:p>
        </w:tc>
      </w:tr>
      <w:tr w:rsidR="00D82E35" w:rsidRPr="0038754B" w14:paraId="20885B8F"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7785C4C5" w14:textId="77777777" w:rsidR="00D82E35" w:rsidRPr="005206CA" w:rsidRDefault="00D82E35" w:rsidP="00D82E35">
            <w:pPr>
              <w:pStyle w:val="ListBullet"/>
              <w:numPr>
                <w:ilvl w:val="0"/>
                <w:numId w:val="35"/>
              </w:numPr>
              <w:spacing w:after="60"/>
            </w:pPr>
            <w:r w:rsidRPr="005206CA">
              <w:t xml:space="preserve">Australian Gas Infrastructure Group </w:t>
            </w:r>
          </w:p>
        </w:tc>
        <w:tc>
          <w:tcPr>
            <w:tcW w:w="4606" w:type="dxa"/>
            <w:vAlign w:val="center"/>
          </w:tcPr>
          <w:p w14:paraId="61DAC36F" w14:textId="797DEF48" w:rsidR="00D82E35" w:rsidRPr="0038754B" w:rsidRDefault="00D82E35" w:rsidP="00D82E35">
            <w:pPr>
              <w:pStyle w:val="ListBullet"/>
              <w:numPr>
                <w:ilvl w:val="0"/>
                <w:numId w:val="35"/>
              </w:numPr>
              <w:spacing w:after="60"/>
            </w:pPr>
            <w:r w:rsidRPr="0038754B">
              <w:t>Our Energy Group</w:t>
            </w:r>
          </w:p>
        </w:tc>
      </w:tr>
      <w:tr w:rsidR="00D82E35" w:rsidRPr="0038754B" w14:paraId="6ED0C221" w14:textId="77777777" w:rsidTr="000A522E">
        <w:trPr>
          <w:cnfStyle w:val="000000010000" w:firstRow="0" w:lastRow="0" w:firstColumn="0" w:lastColumn="0" w:oddVBand="0" w:evenVBand="0" w:oddHBand="0" w:evenHBand="1" w:firstRowFirstColumn="0" w:firstRowLastColumn="0" w:lastRowFirstColumn="0" w:lastRowLastColumn="0"/>
          <w:trHeight w:val="567"/>
        </w:trPr>
        <w:tc>
          <w:tcPr>
            <w:tcW w:w="4606" w:type="dxa"/>
            <w:vAlign w:val="center"/>
          </w:tcPr>
          <w:p w14:paraId="2A2D3572" w14:textId="77777777" w:rsidR="00D82E35" w:rsidRPr="005206CA" w:rsidRDefault="00D82E35" w:rsidP="00D82E35">
            <w:pPr>
              <w:pStyle w:val="ListBullet"/>
              <w:numPr>
                <w:ilvl w:val="0"/>
                <w:numId w:val="35"/>
              </w:numPr>
              <w:spacing w:after="60"/>
            </w:pPr>
            <w:r w:rsidRPr="005206CA">
              <w:t>Australian Petroleum Production and Exploration Association</w:t>
            </w:r>
          </w:p>
        </w:tc>
        <w:tc>
          <w:tcPr>
            <w:tcW w:w="4606" w:type="dxa"/>
            <w:vAlign w:val="center"/>
          </w:tcPr>
          <w:p w14:paraId="23682E9B" w14:textId="25E6E896" w:rsidR="00D82E35" w:rsidRPr="0038754B" w:rsidRDefault="00D82E35" w:rsidP="00D82E35">
            <w:pPr>
              <w:pStyle w:val="ListBullet"/>
              <w:numPr>
                <w:ilvl w:val="0"/>
                <w:numId w:val="35"/>
              </w:numPr>
              <w:spacing w:after="60"/>
            </w:pPr>
            <w:r w:rsidRPr="0038754B">
              <w:t>Dr. Paul Burke (Australian National University)</w:t>
            </w:r>
          </w:p>
        </w:tc>
      </w:tr>
      <w:tr w:rsidR="00D82E35" w:rsidRPr="0038754B" w14:paraId="229E3885"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59B45350" w14:textId="2C263858" w:rsidR="00D82E35" w:rsidRPr="005206CA" w:rsidRDefault="00D82E35" w:rsidP="00D82E35">
            <w:pPr>
              <w:pStyle w:val="ListBullet"/>
              <w:numPr>
                <w:ilvl w:val="0"/>
                <w:numId w:val="35"/>
              </w:numPr>
              <w:spacing w:after="60"/>
            </w:pPr>
            <w:r w:rsidRPr="005206CA">
              <w:t>Carbon Market Institute</w:t>
            </w:r>
          </w:p>
        </w:tc>
        <w:tc>
          <w:tcPr>
            <w:tcW w:w="4606" w:type="dxa"/>
            <w:vAlign w:val="center"/>
          </w:tcPr>
          <w:p w14:paraId="75ED107B" w14:textId="0654D913" w:rsidR="00D82E35" w:rsidRPr="0038754B" w:rsidRDefault="00D82E35" w:rsidP="00D82E35">
            <w:pPr>
              <w:pStyle w:val="ListBullet"/>
              <w:numPr>
                <w:ilvl w:val="0"/>
                <w:numId w:val="35"/>
              </w:numPr>
              <w:spacing w:after="60"/>
            </w:pPr>
            <w:r w:rsidRPr="0038754B">
              <w:t>Peter Yench</w:t>
            </w:r>
          </w:p>
        </w:tc>
      </w:tr>
      <w:tr w:rsidR="00D82E35" w:rsidRPr="0038754B" w14:paraId="61B50094" w14:textId="77777777" w:rsidTr="000A522E">
        <w:trPr>
          <w:cnfStyle w:val="000000010000" w:firstRow="0" w:lastRow="0" w:firstColumn="0" w:lastColumn="0" w:oddVBand="0" w:evenVBand="0" w:oddHBand="0" w:evenHBand="1" w:firstRowFirstColumn="0" w:firstRowLastColumn="0" w:lastRowFirstColumn="0" w:lastRowLastColumn="0"/>
          <w:trHeight w:val="567"/>
        </w:trPr>
        <w:tc>
          <w:tcPr>
            <w:tcW w:w="4606" w:type="dxa"/>
            <w:vAlign w:val="center"/>
          </w:tcPr>
          <w:p w14:paraId="2AEB0748" w14:textId="7A6F8287" w:rsidR="00D82E35" w:rsidRPr="005206CA" w:rsidRDefault="00D82E35" w:rsidP="00D82E35">
            <w:pPr>
              <w:pStyle w:val="ListBullet"/>
              <w:numPr>
                <w:ilvl w:val="0"/>
                <w:numId w:val="35"/>
              </w:numPr>
              <w:spacing w:after="60"/>
            </w:pPr>
            <w:r w:rsidRPr="005206CA">
              <w:t>Climate Friendly</w:t>
            </w:r>
          </w:p>
        </w:tc>
        <w:tc>
          <w:tcPr>
            <w:tcW w:w="4606" w:type="dxa"/>
            <w:vAlign w:val="center"/>
          </w:tcPr>
          <w:p w14:paraId="15831B24" w14:textId="4450C168" w:rsidR="00D82E35" w:rsidRPr="0038754B" w:rsidRDefault="00D82E35" w:rsidP="00D82E35">
            <w:pPr>
              <w:pStyle w:val="ListBullet"/>
              <w:numPr>
                <w:ilvl w:val="0"/>
                <w:numId w:val="35"/>
              </w:numPr>
              <w:spacing w:after="60"/>
            </w:pPr>
            <w:r w:rsidRPr="0038754B">
              <w:t>Southern Atherton Tablelands Revegetation Alliance</w:t>
            </w:r>
          </w:p>
        </w:tc>
      </w:tr>
      <w:tr w:rsidR="00D82E35" w:rsidRPr="0038754B" w14:paraId="6337552C"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77E4190F" w14:textId="4B6360AA" w:rsidR="00D82E35" w:rsidRPr="005206CA" w:rsidRDefault="00D82E35" w:rsidP="00D82E35">
            <w:pPr>
              <w:pStyle w:val="ListBullet"/>
              <w:numPr>
                <w:ilvl w:val="0"/>
                <w:numId w:val="35"/>
              </w:numPr>
              <w:spacing w:after="60"/>
            </w:pPr>
            <w:r w:rsidRPr="005206CA">
              <w:t>ConocoPhillips</w:t>
            </w:r>
          </w:p>
        </w:tc>
        <w:tc>
          <w:tcPr>
            <w:tcW w:w="4606" w:type="dxa"/>
            <w:vAlign w:val="center"/>
          </w:tcPr>
          <w:p w14:paraId="04A258DA" w14:textId="6A36979D" w:rsidR="00D82E35" w:rsidRPr="0038754B" w:rsidRDefault="00D82E35" w:rsidP="00D82E35">
            <w:pPr>
              <w:pStyle w:val="ListBullet"/>
              <w:numPr>
                <w:ilvl w:val="0"/>
                <w:numId w:val="35"/>
              </w:numPr>
              <w:spacing w:after="60"/>
            </w:pPr>
            <w:r w:rsidRPr="0038754B">
              <w:t xml:space="preserve">The Wilderness Society </w:t>
            </w:r>
          </w:p>
        </w:tc>
      </w:tr>
      <w:tr w:rsidR="00D82E35" w:rsidRPr="0038754B" w14:paraId="3FC608E8" w14:textId="77777777" w:rsidTr="000A522E">
        <w:trPr>
          <w:cnfStyle w:val="000000010000" w:firstRow="0" w:lastRow="0" w:firstColumn="0" w:lastColumn="0" w:oddVBand="0" w:evenVBand="0" w:oddHBand="0" w:evenHBand="1" w:firstRowFirstColumn="0" w:firstRowLastColumn="0" w:lastRowFirstColumn="0" w:lastRowLastColumn="0"/>
          <w:trHeight w:val="567"/>
        </w:trPr>
        <w:tc>
          <w:tcPr>
            <w:tcW w:w="4606" w:type="dxa"/>
            <w:vAlign w:val="center"/>
          </w:tcPr>
          <w:p w14:paraId="5CCB58BE" w14:textId="33193C99" w:rsidR="00D82E35" w:rsidRPr="0038754B" w:rsidRDefault="00D82E35" w:rsidP="00D82E35">
            <w:pPr>
              <w:pStyle w:val="ListBullet"/>
              <w:numPr>
                <w:ilvl w:val="0"/>
                <w:numId w:val="35"/>
              </w:numPr>
              <w:spacing w:after="60"/>
            </w:pPr>
            <w:r w:rsidRPr="005206CA">
              <w:t>Country Carbon</w:t>
            </w:r>
          </w:p>
        </w:tc>
        <w:tc>
          <w:tcPr>
            <w:tcW w:w="4606" w:type="dxa"/>
            <w:vAlign w:val="center"/>
          </w:tcPr>
          <w:p w14:paraId="0018501D" w14:textId="6E7C56C2" w:rsidR="00D82E35" w:rsidRPr="0038754B" w:rsidRDefault="00D82E35" w:rsidP="00D82E35">
            <w:pPr>
              <w:pStyle w:val="ListBullet"/>
              <w:numPr>
                <w:ilvl w:val="0"/>
                <w:numId w:val="35"/>
              </w:numPr>
              <w:spacing w:after="60"/>
            </w:pPr>
            <w:r w:rsidRPr="0038754B">
              <w:t>Trust for Nature </w:t>
            </w:r>
          </w:p>
        </w:tc>
      </w:tr>
      <w:tr w:rsidR="00D82E35" w:rsidRPr="0038754B" w14:paraId="4E6E646A"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2B5071BE" w14:textId="10E9A56F" w:rsidR="00D82E35" w:rsidRPr="0038754B" w:rsidRDefault="00D82E35" w:rsidP="00D82E35">
            <w:pPr>
              <w:pStyle w:val="ListBullet"/>
              <w:numPr>
                <w:ilvl w:val="0"/>
                <w:numId w:val="35"/>
              </w:numPr>
              <w:spacing w:after="60"/>
            </w:pPr>
            <w:r w:rsidRPr="0038754B">
              <w:t>Eastern Alliance for Greenhouse Action</w:t>
            </w:r>
          </w:p>
        </w:tc>
        <w:tc>
          <w:tcPr>
            <w:tcW w:w="4606" w:type="dxa"/>
            <w:vAlign w:val="center"/>
          </w:tcPr>
          <w:p w14:paraId="482855BF" w14:textId="07883F1B" w:rsidR="00D82E35" w:rsidRPr="0038754B" w:rsidRDefault="00D82E35" w:rsidP="00D82E35">
            <w:pPr>
              <w:pStyle w:val="ListBullet"/>
              <w:numPr>
                <w:ilvl w:val="0"/>
                <w:numId w:val="35"/>
              </w:numPr>
              <w:spacing w:after="60"/>
            </w:pPr>
            <w:r w:rsidRPr="0038754B">
              <w:t xml:space="preserve">Victorian Catchment Management Authorities </w:t>
            </w:r>
          </w:p>
        </w:tc>
      </w:tr>
      <w:tr w:rsidR="00D82E35" w:rsidRPr="0038754B" w14:paraId="6B2AEA62" w14:textId="77777777" w:rsidTr="000A522E">
        <w:trPr>
          <w:cnfStyle w:val="000000010000" w:firstRow="0" w:lastRow="0" w:firstColumn="0" w:lastColumn="0" w:oddVBand="0" w:evenVBand="0" w:oddHBand="0" w:evenHBand="1" w:firstRowFirstColumn="0" w:firstRowLastColumn="0" w:lastRowFirstColumn="0" w:lastRowLastColumn="0"/>
          <w:trHeight w:val="567"/>
        </w:trPr>
        <w:tc>
          <w:tcPr>
            <w:tcW w:w="4606" w:type="dxa"/>
            <w:vAlign w:val="center"/>
          </w:tcPr>
          <w:p w14:paraId="7C0F2327" w14:textId="4F22DD15" w:rsidR="00D82E35" w:rsidRPr="0038754B" w:rsidRDefault="00D82E35" w:rsidP="00D82E35">
            <w:pPr>
              <w:pStyle w:val="ListBullet"/>
              <w:numPr>
                <w:ilvl w:val="0"/>
                <w:numId w:val="35"/>
              </w:numPr>
              <w:spacing w:after="60"/>
            </w:pPr>
            <w:r w:rsidRPr="0038754B">
              <w:t>Farmers for Climate Action</w:t>
            </w:r>
          </w:p>
        </w:tc>
        <w:tc>
          <w:tcPr>
            <w:tcW w:w="4606" w:type="dxa"/>
            <w:vAlign w:val="center"/>
          </w:tcPr>
          <w:p w14:paraId="6BC4778A" w14:textId="1ABC9167" w:rsidR="00D82E35" w:rsidRPr="0038754B" w:rsidRDefault="00D82E35" w:rsidP="00D82E35">
            <w:pPr>
              <w:pStyle w:val="ListBullet"/>
              <w:numPr>
                <w:ilvl w:val="0"/>
                <w:numId w:val="35"/>
              </w:numPr>
              <w:spacing w:after="60"/>
            </w:pPr>
            <w:r w:rsidRPr="0038754B">
              <w:t>Wentworth Group</w:t>
            </w:r>
          </w:p>
        </w:tc>
      </w:tr>
      <w:tr w:rsidR="00D82E35" w:rsidRPr="0038754B" w14:paraId="6AA6A6E1" w14:textId="77777777" w:rsidTr="000A522E">
        <w:trPr>
          <w:cnfStyle w:val="000000100000" w:firstRow="0" w:lastRow="0" w:firstColumn="0" w:lastColumn="0" w:oddVBand="0" w:evenVBand="0" w:oddHBand="1" w:evenHBand="0" w:firstRowFirstColumn="0" w:firstRowLastColumn="0" w:lastRowFirstColumn="0" w:lastRowLastColumn="0"/>
          <w:trHeight w:val="567"/>
        </w:trPr>
        <w:tc>
          <w:tcPr>
            <w:tcW w:w="4606" w:type="dxa"/>
            <w:vAlign w:val="center"/>
          </w:tcPr>
          <w:p w14:paraId="686E982D" w14:textId="3C0158E8" w:rsidR="00D82E35" w:rsidRPr="0038754B" w:rsidRDefault="00D82E35" w:rsidP="00D82E35">
            <w:pPr>
              <w:pStyle w:val="ListBullet"/>
              <w:numPr>
                <w:ilvl w:val="0"/>
                <w:numId w:val="35"/>
              </w:numPr>
              <w:spacing w:after="60"/>
            </w:pPr>
            <w:r w:rsidRPr="0038754B">
              <w:t>GreenCollar</w:t>
            </w:r>
          </w:p>
        </w:tc>
        <w:tc>
          <w:tcPr>
            <w:tcW w:w="4606" w:type="dxa"/>
            <w:vAlign w:val="center"/>
          </w:tcPr>
          <w:p w14:paraId="75D0E9CF" w14:textId="1E299337" w:rsidR="00D82E35" w:rsidRPr="0038754B" w:rsidRDefault="00D82E35" w:rsidP="00D82E35">
            <w:pPr>
              <w:pStyle w:val="ListBullet"/>
              <w:numPr>
                <w:ilvl w:val="0"/>
                <w:numId w:val="35"/>
              </w:numPr>
              <w:spacing w:after="60"/>
            </w:pPr>
            <w:r w:rsidRPr="0038754B">
              <w:t>Western Australian Local Government Association</w:t>
            </w:r>
          </w:p>
        </w:tc>
      </w:tr>
    </w:tbl>
    <w:p w14:paraId="165CE92C" w14:textId="77777777" w:rsidR="00D6496C" w:rsidRPr="0038754B" w:rsidRDefault="00D6496C">
      <w:pPr>
        <w:spacing w:after="0" w:line="240" w:lineRule="auto"/>
      </w:pPr>
    </w:p>
    <w:p w14:paraId="0569F1E3" w14:textId="77777777" w:rsidR="00D6496C" w:rsidRPr="0038754B" w:rsidRDefault="00D6496C" w:rsidP="00BA3BB8">
      <w:pPr>
        <w:pStyle w:val="Heading1nonumber"/>
      </w:pPr>
      <w:bookmarkStart w:id="1834" w:name="_Toc491872766"/>
      <w:bookmarkStart w:id="1835" w:name="_Toc498691605"/>
      <w:bookmarkStart w:id="1836" w:name="_Toc499043784"/>
      <w:bookmarkStart w:id="1837" w:name="_Toc499051809"/>
      <w:bookmarkStart w:id="1838" w:name="_Toc500251162"/>
      <w:bookmarkStart w:id="1839" w:name="_Toc500251437"/>
      <w:bookmarkStart w:id="1840" w:name="_Toc500254034"/>
      <w:bookmarkStart w:id="1841" w:name="_Toc500401541"/>
      <w:bookmarkStart w:id="1842" w:name="_Toc500491029"/>
      <w:bookmarkStart w:id="1843" w:name="_Toc500512966"/>
      <w:bookmarkStart w:id="1844" w:name="_Toc500514226"/>
      <w:bookmarkStart w:id="1845" w:name="_Toc500516278"/>
      <w:r w:rsidRPr="0038754B">
        <w:t>Appendix C: Outline of methods under the emissions reduction fund</w:t>
      </w:r>
      <w:bookmarkEnd w:id="1834"/>
      <w:bookmarkEnd w:id="1835"/>
      <w:bookmarkEnd w:id="1836"/>
      <w:bookmarkEnd w:id="1837"/>
      <w:bookmarkEnd w:id="1838"/>
      <w:bookmarkEnd w:id="1839"/>
      <w:bookmarkEnd w:id="1840"/>
      <w:bookmarkEnd w:id="1841"/>
      <w:bookmarkEnd w:id="1842"/>
      <w:bookmarkEnd w:id="1843"/>
      <w:bookmarkEnd w:id="1844"/>
      <w:bookmarkEnd w:id="1845"/>
    </w:p>
    <w:tbl>
      <w:tblPr>
        <w:tblStyle w:val="PlainTable1"/>
        <w:tblW w:w="9923"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123"/>
        <w:gridCol w:w="6382"/>
        <w:gridCol w:w="1418"/>
      </w:tblGrid>
      <w:tr w:rsidR="00293140" w:rsidRPr="00C44929" w14:paraId="0341150C" w14:textId="77777777" w:rsidTr="004E011A">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123" w:type="dxa"/>
            <w:shd w:val="clear" w:color="auto" w:fill="159DCE"/>
            <w:tcMar>
              <w:left w:w="57" w:type="dxa"/>
              <w:right w:w="57" w:type="dxa"/>
            </w:tcMar>
            <w:vAlign w:val="center"/>
          </w:tcPr>
          <w:p w14:paraId="4C714E15" w14:textId="62FC0147" w:rsidR="00293140" w:rsidRPr="00BB1728" w:rsidRDefault="00293140" w:rsidP="00C44929">
            <w:pPr>
              <w:spacing w:after="80" w:line="240" w:lineRule="auto"/>
              <w:rPr>
                <w:rFonts w:eastAsia="Times New Roman" w:cs="Arial"/>
                <w:color w:val="FFFFFF" w:themeColor="background1"/>
                <w:sz w:val="18"/>
                <w:szCs w:val="18"/>
                <w:lang w:eastAsia="en-AU"/>
              </w:rPr>
            </w:pPr>
            <w:r w:rsidRPr="00BB1728">
              <w:rPr>
                <w:rFonts w:eastAsia="Times New Roman" w:cs="Arial"/>
                <w:color w:val="FFFFFF" w:themeColor="background1"/>
                <w:sz w:val="18"/>
                <w:szCs w:val="18"/>
                <w:lang w:eastAsia="en-AU"/>
              </w:rPr>
              <w:t>METHOD</w:t>
            </w:r>
          </w:p>
        </w:tc>
        <w:tc>
          <w:tcPr>
            <w:tcW w:w="6382" w:type="dxa"/>
            <w:shd w:val="clear" w:color="auto" w:fill="159DCE"/>
            <w:tcMar>
              <w:left w:w="57" w:type="dxa"/>
              <w:right w:w="57" w:type="dxa"/>
            </w:tcMar>
            <w:vAlign w:val="center"/>
          </w:tcPr>
          <w:p w14:paraId="31CD5372" w14:textId="7CE422AC" w:rsidR="00293140" w:rsidRPr="00BB1728" w:rsidRDefault="00293140" w:rsidP="00C44929">
            <w:pPr>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B1728">
              <w:rPr>
                <w:rFonts w:cs="Arial"/>
                <w:color w:val="FFFFFF" w:themeColor="background1"/>
                <w:sz w:val="18"/>
                <w:szCs w:val="18"/>
              </w:rPr>
              <w:t>DESCRIPTION</w:t>
            </w:r>
          </w:p>
        </w:tc>
        <w:tc>
          <w:tcPr>
            <w:tcW w:w="1418" w:type="dxa"/>
            <w:shd w:val="clear" w:color="auto" w:fill="159DCE"/>
            <w:tcMar>
              <w:left w:w="57" w:type="dxa"/>
              <w:right w:w="57" w:type="dxa"/>
            </w:tcMar>
          </w:tcPr>
          <w:p w14:paraId="2D0711C2" w14:textId="77777777" w:rsidR="00293140" w:rsidRPr="00BB1728" w:rsidRDefault="00293140" w:rsidP="00C44929">
            <w:pPr>
              <w:spacing w:after="80" w:line="240" w:lineRule="auto"/>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B1728">
              <w:rPr>
                <w:rFonts w:cs="Arial"/>
                <w:color w:val="FFFFFF" w:themeColor="background1"/>
                <w:sz w:val="18"/>
                <w:szCs w:val="18"/>
              </w:rPr>
              <w:t>CONTRACTED ABATEMENT (MILLION ACCUs)</w:t>
            </w:r>
          </w:p>
        </w:tc>
      </w:tr>
      <w:tr w:rsidR="00293140" w:rsidRPr="00C44929" w14:paraId="5E63A6B4" w14:textId="77777777" w:rsidTr="004E011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C7EFF2"/>
            <w:tcMar>
              <w:left w:w="57" w:type="dxa"/>
              <w:right w:w="57" w:type="dxa"/>
            </w:tcMar>
            <w:vAlign w:val="center"/>
          </w:tcPr>
          <w:p w14:paraId="72D13177" w14:textId="1DDD9F9C" w:rsidR="00293140" w:rsidRPr="00BB1728" w:rsidRDefault="00293140" w:rsidP="00C44929">
            <w:pPr>
              <w:spacing w:after="0"/>
              <w:rPr>
                <w:rFonts w:cs="Arial"/>
                <w:sz w:val="18"/>
                <w:szCs w:val="18"/>
              </w:rPr>
            </w:pPr>
            <w:r w:rsidRPr="00BB1728">
              <w:rPr>
                <w:rFonts w:cs="Arial"/>
                <w:sz w:val="18"/>
                <w:szCs w:val="18"/>
              </w:rPr>
              <w:t xml:space="preserve">Vegetation </w:t>
            </w:r>
            <w:r w:rsidR="00E21D49">
              <w:rPr>
                <w:rFonts w:cs="Arial"/>
                <w:sz w:val="18"/>
                <w:szCs w:val="18"/>
              </w:rPr>
              <w:t>m</w:t>
            </w:r>
            <w:r w:rsidRPr="00BB1728">
              <w:rPr>
                <w:rFonts w:cs="Arial"/>
                <w:sz w:val="18"/>
                <w:szCs w:val="18"/>
              </w:rPr>
              <w:t>anagement</w:t>
            </w:r>
          </w:p>
        </w:tc>
      </w:tr>
      <w:tr w:rsidR="00293140" w:rsidRPr="00C44929" w14:paraId="250706E1" w14:textId="77777777" w:rsidTr="004E011A">
        <w:trPr>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FFF3DB4" w14:textId="5A40F27F" w:rsidR="00293140" w:rsidRPr="00BB1728" w:rsidRDefault="00293140" w:rsidP="00C44929">
            <w:pPr>
              <w:spacing w:after="0"/>
              <w:rPr>
                <w:rFonts w:cs="Arial"/>
                <w:b w:val="0"/>
                <w:sz w:val="18"/>
                <w:szCs w:val="18"/>
              </w:rPr>
            </w:pPr>
            <w:r w:rsidRPr="00BB1728">
              <w:rPr>
                <w:rFonts w:cs="Arial"/>
                <w:b w:val="0"/>
                <w:sz w:val="18"/>
                <w:szCs w:val="18"/>
              </w:rPr>
              <w:t xml:space="preserve">Avoided </w:t>
            </w:r>
            <w:r w:rsidR="00471DFE">
              <w:rPr>
                <w:rFonts w:cs="Arial"/>
                <w:b w:val="0"/>
                <w:sz w:val="18"/>
                <w:szCs w:val="18"/>
              </w:rPr>
              <w:t>d</w:t>
            </w:r>
            <w:r w:rsidRPr="00BB1728">
              <w:rPr>
                <w:rFonts w:cs="Arial"/>
                <w:b w:val="0"/>
                <w:sz w:val="18"/>
                <w:szCs w:val="18"/>
              </w:rPr>
              <w:t xml:space="preserve">eforestation </w:t>
            </w:r>
          </w:p>
        </w:tc>
        <w:tc>
          <w:tcPr>
            <w:tcW w:w="6382" w:type="dxa"/>
            <w:shd w:val="clear" w:color="auto" w:fill="auto"/>
            <w:tcMar>
              <w:left w:w="57" w:type="dxa"/>
              <w:right w:w="57" w:type="dxa"/>
            </w:tcMar>
            <w:vAlign w:val="center"/>
          </w:tcPr>
          <w:p w14:paraId="6DEEF4F6"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 xml:space="preserve">Protects native forest that would otherwise be cleared for use as cropland or grassland, thereby storing carbon in the trees as they grow and avoiding emissions that would have occurred by clearing. To be eligible, the landholder must have received a clearing permit before 1 July 2010. </w:t>
            </w:r>
          </w:p>
        </w:tc>
        <w:tc>
          <w:tcPr>
            <w:tcW w:w="1418" w:type="dxa"/>
            <w:shd w:val="clear" w:color="auto" w:fill="auto"/>
            <w:tcMar>
              <w:left w:w="57" w:type="dxa"/>
              <w:right w:w="57" w:type="dxa"/>
            </w:tcMar>
            <w:vAlign w:val="center"/>
          </w:tcPr>
          <w:p w14:paraId="033861A7"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25.7</w:t>
            </w:r>
          </w:p>
        </w:tc>
      </w:tr>
      <w:tr w:rsidR="00293140" w:rsidRPr="00C44929" w14:paraId="45F59ED4" w14:textId="77777777" w:rsidTr="004E011A">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99FBCF6" w14:textId="77777777" w:rsidR="00293140" w:rsidRPr="00BB1728" w:rsidRDefault="00293140" w:rsidP="00C44929">
            <w:pPr>
              <w:spacing w:after="0"/>
              <w:rPr>
                <w:rFonts w:cs="Arial"/>
                <w:b w:val="0"/>
                <w:sz w:val="18"/>
                <w:szCs w:val="18"/>
              </w:rPr>
            </w:pPr>
            <w:r w:rsidRPr="00BB1728">
              <w:rPr>
                <w:rFonts w:cs="Arial"/>
                <w:b w:val="0"/>
                <w:sz w:val="18"/>
                <w:szCs w:val="18"/>
              </w:rPr>
              <w:t>Avoided clearing of native regrowth</w:t>
            </w:r>
          </w:p>
        </w:tc>
        <w:tc>
          <w:tcPr>
            <w:tcW w:w="6382" w:type="dxa"/>
            <w:shd w:val="clear" w:color="auto" w:fill="auto"/>
            <w:tcMar>
              <w:left w:w="57" w:type="dxa"/>
              <w:right w:w="57" w:type="dxa"/>
            </w:tcMar>
            <w:vAlign w:val="center"/>
          </w:tcPr>
          <w:p w14:paraId="2020DDF8"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Retains native forest that would otherwise be cleared in the normal course of events, thereby storing carbon.</w:t>
            </w:r>
          </w:p>
        </w:tc>
        <w:tc>
          <w:tcPr>
            <w:tcW w:w="1418" w:type="dxa"/>
            <w:shd w:val="clear" w:color="auto" w:fill="auto"/>
            <w:tcMar>
              <w:left w:w="57" w:type="dxa"/>
              <w:right w:w="57" w:type="dxa"/>
            </w:tcMar>
            <w:vAlign w:val="center"/>
          </w:tcPr>
          <w:p w14:paraId="27F03A34"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0.4</w:t>
            </w:r>
          </w:p>
        </w:tc>
      </w:tr>
      <w:tr w:rsidR="00293140" w:rsidRPr="00C44929" w14:paraId="14ED1B67" w14:textId="77777777" w:rsidTr="004E011A">
        <w:trPr>
          <w:trHeight w:val="7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ADAFEDB" w14:textId="77777777" w:rsidR="00293140" w:rsidRPr="00BB1728" w:rsidRDefault="00293140" w:rsidP="00C44929">
            <w:pPr>
              <w:spacing w:after="0"/>
              <w:rPr>
                <w:rFonts w:cs="Arial"/>
                <w:b w:val="0"/>
                <w:sz w:val="18"/>
                <w:szCs w:val="18"/>
              </w:rPr>
            </w:pPr>
            <w:r w:rsidRPr="00BB1728">
              <w:rPr>
                <w:rFonts w:cs="Arial"/>
                <w:b w:val="0"/>
                <w:sz w:val="18"/>
                <w:szCs w:val="18"/>
              </w:rPr>
              <w:t>Human-induced regeneration of a permanent even-aged native forest</w:t>
            </w:r>
          </w:p>
        </w:tc>
        <w:tc>
          <w:tcPr>
            <w:tcW w:w="6382" w:type="dxa"/>
            <w:shd w:val="clear" w:color="auto" w:fill="auto"/>
            <w:tcMar>
              <w:left w:w="57" w:type="dxa"/>
              <w:right w:w="57" w:type="dxa"/>
            </w:tcMar>
            <w:vAlign w:val="center"/>
          </w:tcPr>
          <w:p w14:paraId="3E702194" w14:textId="6E1D98A2"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sidDel="00D30868">
              <w:rPr>
                <w:rFonts w:cs="Arial"/>
                <w:sz w:val="18"/>
                <w:szCs w:val="18"/>
              </w:rPr>
              <w:t xml:space="preserve">Establishes </w:t>
            </w:r>
            <w:r w:rsidRPr="00BB1728">
              <w:rPr>
                <w:rFonts w:cs="Arial"/>
                <w:sz w:val="18"/>
                <w:szCs w:val="18"/>
              </w:rPr>
              <w:t>a native forest on land where native forest is being supressed using regeneration activities. Regeneration activities include excluding livestock, managing the timing and extent of grazing, and stopping destruction or suppression of native regrowth.</w:t>
            </w:r>
          </w:p>
        </w:tc>
        <w:tc>
          <w:tcPr>
            <w:tcW w:w="1418" w:type="dxa"/>
            <w:shd w:val="clear" w:color="auto" w:fill="auto"/>
            <w:tcMar>
              <w:left w:w="57" w:type="dxa"/>
              <w:right w:w="57" w:type="dxa"/>
            </w:tcMar>
            <w:vAlign w:val="center"/>
          </w:tcPr>
          <w:p w14:paraId="6EC4F4B8" w14:textId="4D4C5719" w:rsidR="00293140" w:rsidRPr="00BB1728" w:rsidRDefault="00293140" w:rsidP="00AE75D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80.</w:t>
            </w:r>
            <w:r w:rsidR="00AE75D9">
              <w:rPr>
                <w:rFonts w:cs="Arial"/>
                <w:sz w:val="18"/>
                <w:szCs w:val="18"/>
              </w:rPr>
              <w:t>5</w:t>
            </w:r>
          </w:p>
        </w:tc>
      </w:tr>
      <w:tr w:rsidR="00293140" w:rsidRPr="00C44929" w14:paraId="276644BE"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740E8E6" w14:textId="77777777" w:rsidR="00293140" w:rsidRPr="00BB1728" w:rsidRDefault="00293140" w:rsidP="00C44929">
            <w:pPr>
              <w:spacing w:after="0"/>
              <w:rPr>
                <w:rFonts w:cs="Arial"/>
                <w:b w:val="0"/>
                <w:sz w:val="18"/>
                <w:szCs w:val="18"/>
              </w:rPr>
            </w:pPr>
            <w:r w:rsidRPr="00BB1728">
              <w:rPr>
                <w:rFonts w:cs="Arial"/>
                <w:b w:val="0"/>
                <w:sz w:val="18"/>
                <w:szCs w:val="18"/>
              </w:rPr>
              <w:t>Native forest from managed regrowth</w:t>
            </w:r>
          </w:p>
        </w:tc>
        <w:tc>
          <w:tcPr>
            <w:tcW w:w="6382" w:type="dxa"/>
            <w:shd w:val="clear" w:color="auto" w:fill="auto"/>
            <w:tcMar>
              <w:left w:w="57" w:type="dxa"/>
              <w:right w:w="57" w:type="dxa"/>
            </w:tcMar>
            <w:vAlign w:val="center"/>
          </w:tcPr>
          <w:p w14:paraId="4033BF62" w14:textId="27229D6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 xml:space="preserve">Allows native vegetation to regrow by stopping activities that prevent regeneration of native vegetation. </w:t>
            </w:r>
            <w:r w:rsidR="007E5547" w:rsidRPr="00BB1728">
              <w:rPr>
                <w:rFonts w:cs="Arial"/>
                <w:sz w:val="18"/>
                <w:szCs w:val="18"/>
              </w:rPr>
              <w:t>Scheme participants</w:t>
            </w:r>
            <w:r w:rsidRPr="00BB1728">
              <w:rPr>
                <w:rFonts w:cs="Arial"/>
                <w:sz w:val="18"/>
                <w:szCs w:val="18"/>
              </w:rPr>
              <w:t xml:space="preserve"> can erect fencing to exclude livestock or remove non-native plant and animal species.</w:t>
            </w:r>
          </w:p>
        </w:tc>
        <w:tc>
          <w:tcPr>
            <w:tcW w:w="1418" w:type="dxa"/>
            <w:shd w:val="clear" w:color="auto" w:fill="auto"/>
            <w:tcMar>
              <w:left w:w="57" w:type="dxa"/>
              <w:right w:w="57" w:type="dxa"/>
            </w:tcMar>
            <w:vAlign w:val="center"/>
          </w:tcPr>
          <w:p w14:paraId="1C41E7CC"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4.2</w:t>
            </w:r>
          </w:p>
        </w:tc>
      </w:tr>
      <w:tr w:rsidR="00293140" w:rsidRPr="00C44929" w14:paraId="4D10A16B" w14:textId="77777777" w:rsidTr="004E011A">
        <w:trPr>
          <w:trHeight w:val="37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967F961" w14:textId="08A3CF47" w:rsidR="00293140" w:rsidRPr="00BB1728" w:rsidRDefault="00293140" w:rsidP="008C0095">
            <w:pPr>
              <w:spacing w:after="0"/>
              <w:rPr>
                <w:rFonts w:cs="Arial"/>
                <w:b w:val="0"/>
                <w:sz w:val="18"/>
                <w:szCs w:val="18"/>
              </w:rPr>
            </w:pPr>
            <w:r w:rsidRPr="00BB1728">
              <w:rPr>
                <w:rFonts w:cs="Arial"/>
                <w:b w:val="0"/>
                <w:sz w:val="18"/>
                <w:szCs w:val="18"/>
              </w:rPr>
              <w:t xml:space="preserve">Reforestation and </w:t>
            </w:r>
            <w:r w:rsidR="008C0095">
              <w:rPr>
                <w:rFonts w:cs="Arial"/>
                <w:b w:val="0"/>
                <w:sz w:val="18"/>
                <w:szCs w:val="18"/>
              </w:rPr>
              <w:t>a</w:t>
            </w:r>
            <w:r w:rsidRPr="00BB1728">
              <w:rPr>
                <w:rFonts w:cs="Arial"/>
                <w:b w:val="0"/>
                <w:sz w:val="18"/>
                <w:szCs w:val="18"/>
              </w:rPr>
              <w:t>fforestation</w:t>
            </w:r>
          </w:p>
        </w:tc>
        <w:tc>
          <w:tcPr>
            <w:tcW w:w="6382" w:type="dxa"/>
            <w:shd w:val="clear" w:color="auto" w:fill="auto"/>
            <w:tcMar>
              <w:left w:w="57" w:type="dxa"/>
              <w:right w:w="57" w:type="dxa"/>
            </w:tcMar>
            <w:vAlign w:val="center"/>
          </w:tcPr>
          <w:p w14:paraId="44D6B53C" w14:textId="77777777" w:rsidR="00293140" w:rsidRPr="00BB1728" w:rsidRDefault="00293140" w:rsidP="00EA7744">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Establishes forests by establishing a new forest or re-establishing a depleted forest on land previously used for grazing or cropping. Uses measurement to estimate carbon stored. Projects can involve any type of tree species, except for declared weed species.</w:t>
            </w:r>
          </w:p>
        </w:tc>
        <w:tc>
          <w:tcPr>
            <w:tcW w:w="1418" w:type="dxa"/>
            <w:shd w:val="clear" w:color="auto" w:fill="auto"/>
            <w:tcMar>
              <w:left w:w="57" w:type="dxa"/>
              <w:right w:w="57" w:type="dxa"/>
            </w:tcMar>
            <w:vAlign w:val="center"/>
          </w:tcPr>
          <w:p w14:paraId="7BF3A512" w14:textId="04B626F6" w:rsidR="00293140" w:rsidRPr="00BB1728" w:rsidRDefault="00293140" w:rsidP="00746A74">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w:t>
            </w:r>
            <w:r w:rsidR="00746A74">
              <w:rPr>
                <w:rFonts w:cs="Arial"/>
                <w:sz w:val="18"/>
                <w:szCs w:val="18"/>
              </w:rPr>
              <w:t>7</w:t>
            </w:r>
          </w:p>
        </w:tc>
      </w:tr>
      <w:tr w:rsidR="00293140" w:rsidRPr="00C44929" w14:paraId="16115A61"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20D65B5" w14:textId="60E75067" w:rsidR="00293140" w:rsidRPr="00BB1728" w:rsidRDefault="00293140" w:rsidP="00C44929">
            <w:pPr>
              <w:spacing w:after="0"/>
              <w:rPr>
                <w:rFonts w:cs="Arial"/>
                <w:b w:val="0"/>
                <w:sz w:val="18"/>
                <w:szCs w:val="18"/>
              </w:rPr>
            </w:pPr>
            <w:r w:rsidRPr="00BB1728">
              <w:rPr>
                <w:rFonts w:cs="Arial"/>
                <w:b w:val="0"/>
                <w:sz w:val="18"/>
                <w:szCs w:val="18"/>
              </w:rPr>
              <w:t xml:space="preserve">Reforestation by </w:t>
            </w:r>
            <w:r w:rsidR="008C0095">
              <w:rPr>
                <w:rFonts w:cs="Arial"/>
                <w:b w:val="0"/>
                <w:sz w:val="18"/>
                <w:szCs w:val="18"/>
              </w:rPr>
              <w:t>e</w:t>
            </w:r>
            <w:r w:rsidRPr="00BB1728">
              <w:rPr>
                <w:rFonts w:cs="Arial"/>
                <w:b w:val="0"/>
                <w:sz w:val="18"/>
                <w:szCs w:val="18"/>
              </w:rPr>
              <w:t xml:space="preserve">nvironmental or </w:t>
            </w:r>
            <w:r w:rsidR="008C0095">
              <w:rPr>
                <w:rFonts w:cs="Arial"/>
                <w:b w:val="0"/>
                <w:sz w:val="18"/>
                <w:szCs w:val="18"/>
              </w:rPr>
              <w:t>m</w:t>
            </w:r>
            <w:r w:rsidRPr="00BB1728">
              <w:rPr>
                <w:rFonts w:cs="Arial"/>
                <w:b w:val="0"/>
                <w:sz w:val="18"/>
                <w:szCs w:val="18"/>
              </w:rPr>
              <w:t xml:space="preserve">allee </w:t>
            </w:r>
            <w:r w:rsidR="008C0095">
              <w:rPr>
                <w:rFonts w:cs="Arial"/>
                <w:b w:val="0"/>
                <w:sz w:val="18"/>
                <w:szCs w:val="18"/>
              </w:rPr>
              <w:t>p</w:t>
            </w:r>
            <w:r w:rsidRPr="00BB1728">
              <w:rPr>
                <w:rFonts w:cs="Arial"/>
                <w:b w:val="0"/>
                <w:sz w:val="18"/>
                <w:szCs w:val="18"/>
              </w:rPr>
              <w:t>lantings - FullCAM</w:t>
            </w:r>
          </w:p>
        </w:tc>
        <w:tc>
          <w:tcPr>
            <w:tcW w:w="6382" w:type="dxa"/>
            <w:shd w:val="clear" w:color="auto" w:fill="auto"/>
            <w:tcMar>
              <w:left w:w="57" w:type="dxa"/>
              <w:right w:w="57" w:type="dxa"/>
            </w:tcMar>
            <w:vAlign w:val="center"/>
          </w:tcPr>
          <w:p w14:paraId="27039072" w14:textId="77777777" w:rsidR="00293140" w:rsidRPr="00BB1728" w:rsidRDefault="00293140" w:rsidP="00EA7744">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Establishes new forests by permanently planting native trees or mallees to store carbon. The method uses the FullCAM carbon model to estimate carbon captured by the growing trees.</w:t>
            </w:r>
          </w:p>
        </w:tc>
        <w:tc>
          <w:tcPr>
            <w:tcW w:w="1418" w:type="dxa"/>
            <w:shd w:val="clear" w:color="auto" w:fill="auto"/>
            <w:tcMar>
              <w:left w:w="57" w:type="dxa"/>
              <w:right w:w="57" w:type="dxa"/>
            </w:tcMar>
            <w:vAlign w:val="center"/>
          </w:tcPr>
          <w:p w14:paraId="4EC92806"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9.8</w:t>
            </w:r>
          </w:p>
        </w:tc>
      </w:tr>
      <w:tr w:rsidR="00293140" w:rsidRPr="00C44929" w14:paraId="6B783B2E" w14:textId="77777777" w:rsidTr="004E011A">
        <w:trPr>
          <w:trHeight w:val="5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2C4F9CE" w14:textId="77777777" w:rsidR="00293140" w:rsidRPr="00BB1728" w:rsidRDefault="00293140" w:rsidP="00C44929">
            <w:pPr>
              <w:spacing w:after="0"/>
              <w:rPr>
                <w:rFonts w:cs="Arial"/>
                <w:b w:val="0"/>
                <w:sz w:val="18"/>
                <w:szCs w:val="18"/>
              </w:rPr>
            </w:pPr>
            <w:r w:rsidRPr="00BB1728">
              <w:rPr>
                <w:rFonts w:cs="Arial"/>
                <w:b w:val="0"/>
                <w:sz w:val="18"/>
                <w:szCs w:val="18"/>
              </w:rPr>
              <w:t>Measurement based methods for new farm forestry plantations</w:t>
            </w:r>
          </w:p>
        </w:tc>
        <w:tc>
          <w:tcPr>
            <w:tcW w:w="6382" w:type="dxa"/>
            <w:shd w:val="clear" w:color="auto" w:fill="auto"/>
            <w:tcMar>
              <w:left w:w="57" w:type="dxa"/>
              <w:right w:w="57" w:type="dxa"/>
            </w:tcMar>
            <w:vAlign w:val="center"/>
          </w:tcPr>
          <w:p w14:paraId="49B02103" w14:textId="77777777" w:rsidR="00293140" w:rsidRPr="00BB1728" w:rsidRDefault="00293140" w:rsidP="00EA7744">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Establishes a forest on land that has previously been used for grazing or cropping. Can include establishing trees for commercial harvest.</w:t>
            </w:r>
          </w:p>
        </w:tc>
        <w:tc>
          <w:tcPr>
            <w:tcW w:w="1418" w:type="dxa"/>
            <w:shd w:val="clear" w:color="auto" w:fill="auto"/>
            <w:tcMar>
              <w:left w:w="57" w:type="dxa"/>
              <w:right w:w="57" w:type="dxa"/>
            </w:tcMar>
            <w:vAlign w:val="center"/>
          </w:tcPr>
          <w:p w14:paraId="04EF4D61"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479B7DCC"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E8355B5" w14:textId="77777777" w:rsidR="00293140" w:rsidRPr="00BB1728" w:rsidRDefault="00293140" w:rsidP="00C44929">
            <w:pPr>
              <w:spacing w:after="0"/>
              <w:rPr>
                <w:rFonts w:cs="Arial"/>
                <w:b w:val="0"/>
                <w:sz w:val="18"/>
                <w:szCs w:val="18"/>
              </w:rPr>
            </w:pPr>
            <w:r w:rsidRPr="00BB1728">
              <w:rPr>
                <w:rFonts w:cs="Arial"/>
                <w:b w:val="0"/>
                <w:sz w:val="18"/>
                <w:szCs w:val="18"/>
              </w:rPr>
              <w:t>Designated Verified Carbon Standard projects</w:t>
            </w:r>
          </w:p>
        </w:tc>
        <w:tc>
          <w:tcPr>
            <w:tcW w:w="6382" w:type="dxa"/>
            <w:shd w:val="clear" w:color="auto" w:fill="auto"/>
            <w:tcMar>
              <w:left w:w="57" w:type="dxa"/>
              <w:right w:w="57" w:type="dxa"/>
            </w:tcMar>
            <w:vAlign w:val="center"/>
          </w:tcPr>
          <w:p w14:paraId="0F7C06A7" w14:textId="75FD5181" w:rsidR="00293140" w:rsidRPr="00BB1728" w:rsidRDefault="00293140" w:rsidP="00D30868">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 xml:space="preserve">Enables avoided harvest projects validated under the Verified Carbon Standard (internationally recognised and credible international standard) to transition to the ERF. </w:t>
            </w:r>
            <w:r w:rsidR="007E5547" w:rsidRPr="00BB1728">
              <w:rPr>
                <w:rFonts w:cs="Arial"/>
                <w:sz w:val="18"/>
                <w:szCs w:val="18"/>
              </w:rPr>
              <w:t>Scheme participants</w:t>
            </w:r>
            <w:r w:rsidRPr="00BB1728">
              <w:rPr>
                <w:rFonts w:cs="Arial"/>
                <w:sz w:val="18"/>
                <w:szCs w:val="18"/>
              </w:rPr>
              <w:t xml:space="preserve"> avoid emissions and sequester carbon by protecting </w:t>
            </w:r>
            <w:r w:rsidRPr="00BB1728" w:rsidDel="00D30868">
              <w:rPr>
                <w:rFonts w:cs="Arial"/>
                <w:sz w:val="18"/>
                <w:szCs w:val="18"/>
              </w:rPr>
              <w:t xml:space="preserve">native </w:t>
            </w:r>
            <w:r w:rsidRPr="00BB1728">
              <w:rPr>
                <w:rFonts w:cs="Arial"/>
                <w:sz w:val="18"/>
                <w:szCs w:val="18"/>
              </w:rPr>
              <w:t>forests and not harvesting them.</w:t>
            </w:r>
          </w:p>
        </w:tc>
        <w:tc>
          <w:tcPr>
            <w:tcW w:w="1418" w:type="dxa"/>
            <w:shd w:val="clear" w:color="auto" w:fill="auto"/>
            <w:tcMar>
              <w:left w:w="57" w:type="dxa"/>
              <w:right w:w="57" w:type="dxa"/>
            </w:tcMar>
            <w:vAlign w:val="center"/>
          </w:tcPr>
          <w:p w14:paraId="2417FEED"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0.8</w:t>
            </w:r>
          </w:p>
        </w:tc>
      </w:tr>
      <w:tr w:rsidR="00293140" w:rsidRPr="00C44929" w14:paraId="7D8E7ED0" w14:textId="77777777" w:rsidTr="004E011A">
        <w:trPr>
          <w:trHeight w:val="7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335E1B0" w14:textId="77777777" w:rsidR="00293140" w:rsidRPr="00BB1728" w:rsidRDefault="00293140" w:rsidP="00C44929">
            <w:pPr>
              <w:spacing w:after="0"/>
              <w:rPr>
                <w:rFonts w:cs="Arial"/>
                <w:b w:val="0"/>
                <w:sz w:val="18"/>
                <w:szCs w:val="18"/>
              </w:rPr>
            </w:pPr>
            <w:r w:rsidRPr="00BB1728">
              <w:rPr>
                <w:rFonts w:cs="Arial"/>
                <w:b w:val="0"/>
                <w:sz w:val="18"/>
                <w:szCs w:val="18"/>
              </w:rPr>
              <w:t>Plantation forestry</w:t>
            </w:r>
          </w:p>
        </w:tc>
        <w:tc>
          <w:tcPr>
            <w:tcW w:w="6382" w:type="dxa"/>
            <w:shd w:val="clear" w:color="auto" w:fill="auto"/>
            <w:tcMar>
              <w:left w:w="57" w:type="dxa"/>
              <w:right w:w="57" w:type="dxa"/>
            </w:tcMar>
            <w:vAlign w:val="center"/>
          </w:tcPr>
          <w:p w14:paraId="351FE9F7"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Increases carbon storage through establishing and managing commercial plantation forests by establishing new plantation forests, converting short-rotation plantations to long rotations, or maintaining existing plantations established under another ERF method. This method uses FullCAM to model the carbon abatement of projects.</w:t>
            </w:r>
          </w:p>
        </w:tc>
        <w:tc>
          <w:tcPr>
            <w:tcW w:w="1418" w:type="dxa"/>
            <w:shd w:val="clear" w:color="auto" w:fill="auto"/>
            <w:tcMar>
              <w:left w:w="57" w:type="dxa"/>
              <w:right w:w="57" w:type="dxa"/>
            </w:tcMar>
            <w:vAlign w:val="center"/>
          </w:tcPr>
          <w:p w14:paraId="245F7815"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52A6FC23" w14:textId="77777777" w:rsidTr="004E011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C7EFF2"/>
            <w:tcMar>
              <w:left w:w="57" w:type="dxa"/>
              <w:right w:w="57" w:type="dxa"/>
            </w:tcMar>
            <w:vAlign w:val="center"/>
          </w:tcPr>
          <w:p w14:paraId="5EA3F2D0" w14:textId="77777777" w:rsidR="00293140" w:rsidRPr="00BB1728" w:rsidRDefault="00293140" w:rsidP="00C44929">
            <w:pPr>
              <w:spacing w:after="0"/>
              <w:rPr>
                <w:rFonts w:cs="Arial"/>
                <w:sz w:val="18"/>
                <w:szCs w:val="18"/>
              </w:rPr>
            </w:pPr>
            <w:r w:rsidRPr="00BB1728">
              <w:rPr>
                <w:rFonts w:cs="Arial"/>
                <w:sz w:val="18"/>
                <w:szCs w:val="18"/>
              </w:rPr>
              <w:t>Waste and wastewater</w:t>
            </w:r>
          </w:p>
        </w:tc>
      </w:tr>
      <w:tr w:rsidR="00293140" w:rsidRPr="00C44929" w14:paraId="74221762" w14:textId="77777777" w:rsidTr="004E011A">
        <w:trPr>
          <w:trHeight w:val="7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B23BE1A" w14:textId="77777777" w:rsidR="00293140" w:rsidRPr="00BB1728" w:rsidRDefault="00293140" w:rsidP="00C44929">
            <w:pPr>
              <w:spacing w:after="0"/>
              <w:rPr>
                <w:rFonts w:cs="Arial"/>
                <w:b w:val="0"/>
                <w:sz w:val="18"/>
                <w:szCs w:val="18"/>
              </w:rPr>
            </w:pPr>
            <w:r w:rsidRPr="00BB1728">
              <w:rPr>
                <w:rFonts w:cs="Arial"/>
                <w:b w:val="0"/>
                <w:sz w:val="18"/>
                <w:szCs w:val="18"/>
              </w:rPr>
              <w:t>Landfill gas</w:t>
            </w:r>
          </w:p>
        </w:tc>
        <w:tc>
          <w:tcPr>
            <w:tcW w:w="6382" w:type="dxa"/>
            <w:shd w:val="clear" w:color="auto" w:fill="auto"/>
            <w:tcMar>
              <w:left w:w="57" w:type="dxa"/>
              <w:right w:w="57" w:type="dxa"/>
            </w:tcMar>
            <w:vAlign w:val="center"/>
          </w:tcPr>
          <w:p w14:paraId="5540E128"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 xml:space="preserve">Reduces methane from landfills by installing or expanding the operation of a flare or an electricity production system. </w:t>
            </w:r>
          </w:p>
        </w:tc>
        <w:tc>
          <w:tcPr>
            <w:tcW w:w="1418" w:type="dxa"/>
            <w:shd w:val="clear" w:color="auto" w:fill="auto"/>
            <w:tcMar>
              <w:left w:w="57" w:type="dxa"/>
              <w:right w:w="57" w:type="dxa"/>
            </w:tcMar>
            <w:vAlign w:val="center"/>
          </w:tcPr>
          <w:p w14:paraId="350AA328"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20.1</w:t>
            </w:r>
          </w:p>
        </w:tc>
      </w:tr>
      <w:tr w:rsidR="00293140" w:rsidRPr="00C44929" w14:paraId="5B3282A1" w14:textId="77777777" w:rsidTr="004E011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AE81358" w14:textId="77777777" w:rsidR="00293140" w:rsidRPr="00BB1728" w:rsidRDefault="00293140" w:rsidP="00C44929">
            <w:pPr>
              <w:spacing w:after="0"/>
              <w:rPr>
                <w:rFonts w:cs="Arial"/>
                <w:b w:val="0"/>
                <w:sz w:val="18"/>
                <w:szCs w:val="18"/>
              </w:rPr>
            </w:pPr>
            <w:r w:rsidRPr="00BB1728">
              <w:rPr>
                <w:rFonts w:cs="Arial"/>
                <w:b w:val="0"/>
                <w:sz w:val="18"/>
                <w:szCs w:val="18"/>
              </w:rPr>
              <w:t>Alternative waste treatment</w:t>
            </w:r>
          </w:p>
        </w:tc>
        <w:tc>
          <w:tcPr>
            <w:tcW w:w="6382" w:type="dxa"/>
            <w:shd w:val="clear" w:color="auto" w:fill="auto"/>
            <w:tcMar>
              <w:left w:w="57" w:type="dxa"/>
              <w:right w:w="57" w:type="dxa"/>
            </w:tcMar>
            <w:vAlign w:val="center"/>
          </w:tcPr>
          <w:p w14:paraId="143B03D8"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Recycling or composting waste at alternative treatment facilities to reduce methane from landfills.</w:t>
            </w:r>
          </w:p>
        </w:tc>
        <w:tc>
          <w:tcPr>
            <w:tcW w:w="1418" w:type="dxa"/>
            <w:shd w:val="clear" w:color="auto" w:fill="auto"/>
            <w:tcMar>
              <w:left w:w="57" w:type="dxa"/>
              <w:right w:w="57" w:type="dxa"/>
            </w:tcMar>
            <w:vAlign w:val="center"/>
          </w:tcPr>
          <w:p w14:paraId="370F2606"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3.7</w:t>
            </w:r>
          </w:p>
        </w:tc>
      </w:tr>
      <w:tr w:rsidR="00293140" w:rsidRPr="00C44929" w14:paraId="375E63B2" w14:textId="77777777" w:rsidTr="004E011A">
        <w:trPr>
          <w:trHeight w:val="1118"/>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BCA3B25" w14:textId="72001A74" w:rsidR="00293140" w:rsidRPr="00BB1728" w:rsidRDefault="00293140" w:rsidP="008C0095">
            <w:pPr>
              <w:spacing w:after="0"/>
              <w:rPr>
                <w:rFonts w:cs="Arial"/>
                <w:b w:val="0"/>
                <w:sz w:val="18"/>
                <w:szCs w:val="18"/>
              </w:rPr>
            </w:pPr>
            <w:r w:rsidRPr="00BB1728">
              <w:rPr>
                <w:rFonts w:cs="Arial"/>
                <w:b w:val="0"/>
                <w:sz w:val="18"/>
                <w:szCs w:val="18"/>
              </w:rPr>
              <w:t xml:space="preserve">Source </w:t>
            </w:r>
            <w:r w:rsidR="008C0095">
              <w:rPr>
                <w:rFonts w:cs="Arial"/>
                <w:b w:val="0"/>
                <w:sz w:val="18"/>
                <w:szCs w:val="18"/>
              </w:rPr>
              <w:t>s</w:t>
            </w:r>
            <w:r w:rsidRPr="00BB1728">
              <w:rPr>
                <w:rFonts w:cs="Arial"/>
                <w:b w:val="0"/>
                <w:sz w:val="18"/>
                <w:szCs w:val="18"/>
              </w:rPr>
              <w:t xml:space="preserve">eparated </w:t>
            </w:r>
            <w:r w:rsidR="008C0095">
              <w:rPr>
                <w:rFonts w:cs="Arial"/>
                <w:b w:val="0"/>
                <w:sz w:val="18"/>
                <w:szCs w:val="18"/>
              </w:rPr>
              <w:t>o</w:t>
            </w:r>
            <w:r w:rsidR="008C0095" w:rsidRPr="00BB1728">
              <w:rPr>
                <w:rFonts w:cs="Arial"/>
                <w:b w:val="0"/>
                <w:sz w:val="18"/>
                <w:szCs w:val="18"/>
              </w:rPr>
              <w:t xml:space="preserve">rganic </w:t>
            </w:r>
            <w:r w:rsidR="008C0095">
              <w:rPr>
                <w:rFonts w:cs="Arial"/>
                <w:b w:val="0"/>
                <w:sz w:val="18"/>
                <w:szCs w:val="18"/>
              </w:rPr>
              <w:t>w</w:t>
            </w:r>
            <w:r w:rsidR="008C0095" w:rsidRPr="00BB1728">
              <w:rPr>
                <w:rFonts w:cs="Arial"/>
                <w:b w:val="0"/>
                <w:sz w:val="18"/>
                <w:szCs w:val="18"/>
              </w:rPr>
              <w:t>aste</w:t>
            </w:r>
          </w:p>
        </w:tc>
        <w:tc>
          <w:tcPr>
            <w:tcW w:w="6382" w:type="dxa"/>
            <w:shd w:val="clear" w:color="auto" w:fill="auto"/>
            <w:tcMar>
              <w:left w:w="57" w:type="dxa"/>
              <w:right w:w="57" w:type="dxa"/>
            </w:tcMar>
            <w:vAlign w:val="center"/>
          </w:tcPr>
          <w:p w14:paraId="584BE06B" w14:textId="0D613BC1"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Allows for recycling or composting of waste by separating them (ie into different waste bins) This waste is then treated using alternative treatments such as composting and biodigestion.</w:t>
            </w:r>
            <w:r w:rsidR="00D30868" w:rsidRPr="00BB1728">
              <w:rPr>
                <w:rFonts w:cs="Arial"/>
                <w:sz w:val="18"/>
                <w:szCs w:val="18"/>
              </w:rPr>
              <w:t xml:space="preserve"> Also credits abatement resulting from the collection and distribution of surplus food by charities</w:t>
            </w:r>
            <w:r w:rsidR="00BD725F" w:rsidRPr="00BB1728">
              <w:rPr>
                <w:rFonts w:cs="Arial"/>
                <w:sz w:val="18"/>
                <w:szCs w:val="18"/>
              </w:rPr>
              <w:t xml:space="preserve"> that would otherwise go to landfill</w:t>
            </w:r>
            <w:r w:rsidR="00D30868" w:rsidRPr="00BB1728">
              <w:rPr>
                <w:rFonts w:cs="Arial"/>
                <w:sz w:val="18"/>
                <w:szCs w:val="18"/>
              </w:rPr>
              <w:t>.</w:t>
            </w:r>
          </w:p>
        </w:tc>
        <w:tc>
          <w:tcPr>
            <w:tcW w:w="1418" w:type="dxa"/>
            <w:shd w:val="clear" w:color="auto" w:fill="auto"/>
            <w:tcMar>
              <w:left w:w="57" w:type="dxa"/>
              <w:right w:w="57" w:type="dxa"/>
            </w:tcMar>
            <w:vAlign w:val="center"/>
          </w:tcPr>
          <w:p w14:paraId="71ED4AE0"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0.2</w:t>
            </w:r>
          </w:p>
        </w:tc>
      </w:tr>
      <w:tr w:rsidR="00293140" w:rsidRPr="00C44929" w14:paraId="778B2C80"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B2361EE" w14:textId="77777777" w:rsidR="00293140" w:rsidRPr="00BB1728" w:rsidRDefault="00293140" w:rsidP="00C44929">
            <w:pPr>
              <w:spacing w:after="0"/>
              <w:rPr>
                <w:rFonts w:cs="Arial"/>
                <w:b w:val="0"/>
                <w:sz w:val="18"/>
                <w:szCs w:val="18"/>
              </w:rPr>
            </w:pPr>
            <w:r w:rsidRPr="00BB1728">
              <w:rPr>
                <w:rFonts w:cs="Arial"/>
                <w:b w:val="0"/>
                <w:sz w:val="18"/>
                <w:szCs w:val="18"/>
              </w:rPr>
              <w:t>Wastewater treatment</w:t>
            </w:r>
          </w:p>
        </w:tc>
        <w:tc>
          <w:tcPr>
            <w:tcW w:w="6382" w:type="dxa"/>
            <w:shd w:val="clear" w:color="auto" w:fill="auto"/>
            <w:tcMar>
              <w:left w:w="57" w:type="dxa"/>
              <w:right w:w="57" w:type="dxa"/>
            </w:tcMar>
            <w:vAlign w:val="center"/>
          </w:tcPr>
          <w:p w14:paraId="6EEA0677" w14:textId="77777777" w:rsidR="00293140"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Captures and combusts methane generated by wastewater treatment by replacing open lagoons with either a covered lagoon or an engineered biodigestor and combusting the biogas.</w:t>
            </w:r>
          </w:p>
          <w:p w14:paraId="5770BF20"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418" w:type="dxa"/>
            <w:shd w:val="clear" w:color="auto" w:fill="auto"/>
            <w:tcMar>
              <w:left w:w="57" w:type="dxa"/>
              <w:right w:w="57" w:type="dxa"/>
            </w:tcMar>
            <w:vAlign w:val="center"/>
          </w:tcPr>
          <w:p w14:paraId="1B611C66"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0.3</w:t>
            </w:r>
          </w:p>
        </w:tc>
      </w:tr>
      <w:tr w:rsidR="00293140" w:rsidRPr="00C44929" w14:paraId="290FB3F0" w14:textId="77777777" w:rsidTr="004E011A">
        <w:trPr>
          <w:trHeight w:val="186"/>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C7EFF2"/>
            <w:tcMar>
              <w:left w:w="57" w:type="dxa"/>
              <w:right w:w="57" w:type="dxa"/>
            </w:tcMar>
            <w:vAlign w:val="center"/>
          </w:tcPr>
          <w:p w14:paraId="3137143A" w14:textId="77777777" w:rsidR="00293140" w:rsidRPr="00BB1728" w:rsidRDefault="00293140" w:rsidP="00C44929">
            <w:pPr>
              <w:spacing w:after="0"/>
              <w:rPr>
                <w:rFonts w:cs="Arial"/>
                <w:sz w:val="18"/>
                <w:szCs w:val="18"/>
              </w:rPr>
            </w:pPr>
            <w:r w:rsidRPr="00BB1728">
              <w:rPr>
                <w:rFonts w:cs="Arial"/>
                <w:sz w:val="18"/>
                <w:szCs w:val="18"/>
              </w:rPr>
              <w:t>Agriculture</w:t>
            </w:r>
          </w:p>
        </w:tc>
      </w:tr>
      <w:tr w:rsidR="00293140" w:rsidRPr="00C44929" w14:paraId="59ED1D15" w14:textId="77777777" w:rsidTr="004E011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A76C0DF" w14:textId="77777777" w:rsidR="00293140" w:rsidRPr="00BB1728" w:rsidRDefault="00293140" w:rsidP="00C44929">
            <w:pPr>
              <w:spacing w:after="0"/>
              <w:rPr>
                <w:rFonts w:cs="Arial"/>
                <w:b w:val="0"/>
                <w:sz w:val="18"/>
                <w:szCs w:val="18"/>
              </w:rPr>
            </w:pPr>
            <w:r w:rsidRPr="00BB1728">
              <w:rPr>
                <w:rFonts w:cs="Arial"/>
                <w:b w:val="0"/>
                <w:sz w:val="18"/>
                <w:szCs w:val="18"/>
              </w:rPr>
              <w:t xml:space="preserve">Sequestering carbon in soils in grazing systems* </w:t>
            </w:r>
          </w:p>
        </w:tc>
        <w:tc>
          <w:tcPr>
            <w:tcW w:w="6382" w:type="dxa"/>
            <w:shd w:val="clear" w:color="auto" w:fill="auto"/>
            <w:tcMar>
              <w:left w:w="57" w:type="dxa"/>
              <w:right w:w="57" w:type="dxa"/>
            </w:tcMar>
            <w:vAlign w:val="center"/>
          </w:tcPr>
          <w:p w14:paraId="18D21E2E" w14:textId="122CC0F2"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Increases the carbon stored in soils by converting cropland to pasture, rejuvenating pastures, or changing grazing patterns. The amount of carbon sequestered is estimated by direct-measurement using soil sampling</w:t>
            </w:r>
          </w:p>
        </w:tc>
        <w:tc>
          <w:tcPr>
            <w:tcW w:w="1418" w:type="dxa"/>
            <w:shd w:val="clear" w:color="auto" w:fill="auto"/>
            <w:tcMar>
              <w:left w:w="57" w:type="dxa"/>
              <w:right w:w="57" w:type="dxa"/>
            </w:tcMar>
            <w:vAlign w:val="center"/>
          </w:tcPr>
          <w:p w14:paraId="4FDC8528"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16.7</w:t>
            </w:r>
          </w:p>
        </w:tc>
      </w:tr>
      <w:tr w:rsidR="00293140" w:rsidRPr="00C44929" w14:paraId="7AF1359C" w14:textId="77777777" w:rsidTr="004E011A">
        <w:trPr>
          <w:trHeight w:val="9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78818864" w14:textId="77777777" w:rsidR="00293140" w:rsidRPr="00BB1728" w:rsidRDefault="00293140" w:rsidP="00C44929">
            <w:pPr>
              <w:spacing w:after="0"/>
              <w:rPr>
                <w:rFonts w:cs="Arial"/>
                <w:b w:val="0"/>
                <w:sz w:val="18"/>
                <w:szCs w:val="18"/>
              </w:rPr>
            </w:pPr>
            <w:r w:rsidRPr="00BB1728">
              <w:rPr>
                <w:rFonts w:cs="Arial"/>
                <w:b w:val="0"/>
                <w:sz w:val="18"/>
                <w:szCs w:val="18"/>
              </w:rPr>
              <w:t>Estimating sequestration of carbon in soil using default values</w:t>
            </w:r>
          </w:p>
        </w:tc>
        <w:tc>
          <w:tcPr>
            <w:tcW w:w="6382" w:type="dxa"/>
            <w:shd w:val="clear" w:color="auto" w:fill="auto"/>
            <w:tcMar>
              <w:left w:w="57" w:type="dxa"/>
              <w:right w:w="57" w:type="dxa"/>
            </w:tcMar>
            <w:vAlign w:val="center"/>
          </w:tcPr>
          <w:p w14:paraId="1C5A5566"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Increases the carbon stored in soil through one or more of three project management activities: adding fertiliser, lime and water, stubble retention or conversion to pasture. The amount of carbon stored is estimated using FullCAM modelling.</w:t>
            </w:r>
          </w:p>
        </w:tc>
        <w:tc>
          <w:tcPr>
            <w:tcW w:w="1418" w:type="dxa"/>
            <w:shd w:val="clear" w:color="auto" w:fill="auto"/>
            <w:tcMar>
              <w:left w:w="57" w:type="dxa"/>
              <w:right w:w="57" w:type="dxa"/>
            </w:tcMar>
            <w:vAlign w:val="center"/>
          </w:tcPr>
          <w:p w14:paraId="508AE147"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154A6721"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2A29331" w14:textId="77777777" w:rsidR="00293140" w:rsidRPr="00BB1728" w:rsidRDefault="00293140" w:rsidP="00C44929">
            <w:pPr>
              <w:spacing w:after="0"/>
              <w:rPr>
                <w:rFonts w:cs="Arial"/>
                <w:b w:val="0"/>
                <w:sz w:val="18"/>
                <w:szCs w:val="18"/>
              </w:rPr>
            </w:pPr>
            <w:r w:rsidRPr="00BB1728">
              <w:rPr>
                <w:rFonts w:cs="Arial"/>
                <w:b w:val="0"/>
                <w:sz w:val="18"/>
                <w:szCs w:val="18"/>
              </w:rPr>
              <w:t>Fertiliser use efficiency in irrigated cotton</w:t>
            </w:r>
          </w:p>
        </w:tc>
        <w:tc>
          <w:tcPr>
            <w:tcW w:w="6382" w:type="dxa"/>
            <w:shd w:val="clear" w:color="auto" w:fill="auto"/>
            <w:tcMar>
              <w:left w:w="57" w:type="dxa"/>
              <w:right w:w="57" w:type="dxa"/>
            </w:tcMar>
            <w:vAlign w:val="center"/>
          </w:tcPr>
          <w:p w14:paraId="01F57979" w14:textId="4FCE44DC"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Improves the efficiency of synthetic fertiliser use in irrigated cotton, reducing emissions by activities such as changing the rate, timing or type of nitrogen fertiliser application.</w:t>
            </w:r>
          </w:p>
        </w:tc>
        <w:tc>
          <w:tcPr>
            <w:tcW w:w="1418" w:type="dxa"/>
            <w:shd w:val="clear" w:color="auto" w:fill="auto"/>
            <w:tcMar>
              <w:left w:w="57" w:type="dxa"/>
              <w:right w:w="57" w:type="dxa"/>
            </w:tcMar>
            <w:vAlign w:val="center"/>
          </w:tcPr>
          <w:p w14:paraId="4141D30D"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58D41E41" w14:textId="77777777" w:rsidTr="004E011A">
        <w:trPr>
          <w:trHeight w:val="9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62631974" w14:textId="77777777" w:rsidR="00293140" w:rsidRPr="00BB1728" w:rsidRDefault="00293140" w:rsidP="00C44929">
            <w:pPr>
              <w:spacing w:after="0"/>
              <w:rPr>
                <w:rFonts w:cs="Arial"/>
                <w:b w:val="0"/>
                <w:sz w:val="18"/>
                <w:szCs w:val="18"/>
              </w:rPr>
            </w:pPr>
            <w:r w:rsidRPr="00BB1728">
              <w:rPr>
                <w:rFonts w:cs="Arial"/>
                <w:b w:val="0"/>
                <w:sz w:val="18"/>
                <w:szCs w:val="18"/>
              </w:rPr>
              <w:t xml:space="preserve">Destruction of methane generated from manure in piggeries* </w:t>
            </w:r>
          </w:p>
        </w:tc>
        <w:tc>
          <w:tcPr>
            <w:tcW w:w="6382" w:type="dxa"/>
            <w:shd w:val="clear" w:color="auto" w:fill="auto"/>
            <w:tcMar>
              <w:left w:w="57" w:type="dxa"/>
              <w:right w:w="57" w:type="dxa"/>
            </w:tcMar>
            <w:vAlign w:val="center"/>
          </w:tcPr>
          <w:p w14:paraId="0ED46763"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Prevents the release of methane generated from piggery manure by covering open effluent lagoons and combusting the biogas using flares, an electricity generation system, or a gas boiler.</w:t>
            </w:r>
          </w:p>
        </w:tc>
        <w:tc>
          <w:tcPr>
            <w:tcW w:w="1418" w:type="dxa"/>
            <w:shd w:val="clear" w:color="auto" w:fill="auto"/>
            <w:tcMar>
              <w:left w:w="57" w:type="dxa"/>
              <w:right w:w="57" w:type="dxa"/>
            </w:tcMar>
            <w:vAlign w:val="center"/>
          </w:tcPr>
          <w:p w14:paraId="058EF831" w14:textId="5B016CC7" w:rsidR="00293140" w:rsidRPr="00BB1728" w:rsidRDefault="00293140" w:rsidP="00746A74">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w:t>
            </w:r>
            <w:r w:rsidR="00746A74">
              <w:rPr>
                <w:rFonts w:cs="Arial"/>
                <w:sz w:val="18"/>
                <w:szCs w:val="18"/>
              </w:rPr>
              <w:t>8</w:t>
            </w:r>
          </w:p>
        </w:tc>
      </w:tr>
      <w:tr w:rsidR="00293140" w:rsidRPr="00C44929" w14:paraId="77FE4EF0" w14:textId="77777777" w:rsidTr="004E011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5C999521" w14:textId="77777777" w:rsidR="00293140" w:rsidRPr="00BB1728" w:rsidRDefault="00293140" w:rsidP="00C44929">
            <w:pPr>
              <w:spacing w:after="0"/>
              <w:rPr>
                <w:rFonts w:cs="Arial"/>
                <w:b w:val="0"/>
                <w:sz w:val="18"/>
                <w:szCs w:val="18"/>
              </w:rPr>
            </w:pPr>
            <w:r w:rsidRPr="00BB1728">
              <w:rPr>
                <w:rFonts w:cs="Arial"/>
                <w:b w:val="0"/>
                <w:sz w:val="18"/>
                <w:szCs w:val="18"/>
              </w:rPr>
              <w:t>Destruction of methane from piggeries using engineered biodigesters*</w:t>
            </w:r>
          </w:p>
        </w:tc>
        <w:tc>
          <w:tcPr>
            <w:tcW w:w="6382" w:type="dxa"/>
            <w:shd w:val="clear" w:color="auto" w:fill="auto"/>
            <w:tcMar>
              <w:left w:w="57" w:type="dxa"/>
              <w:right w:w="57" w:type="dxa"/>
            </w:tcMar>
            <w:vAlign w:val="center"/>
          </w:tcPr>
          <w:p w14:paraId="0AFAF3F3"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Prevents the release of methane generated from piggery manure by combusting the methane component in engineered biodigesters. The methane can be used to generate electricity or combusted using a flare.</w:t>
            </w:r>
          </w:p>
        </w:tc>
        <w:tc>
          <w:tcPr>
            <w:tcW w:w="1418" w:type="dxa"/>
            <w:shd w:val="clear" w:color="auto" w:fill="auto"/>
            <w:tcMar>
              <w:left w:w="57" w:type="dxa"/>
              <w:right w:w="57" w:type="dxa"/>
            </w:tcMar>
            <w:vAlign w:val="center"/>
          </w:tcPr>
          <w:p w14:paraId="586D6666"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33E10162" w14:textId="77777777" w:rsidTr="004E011A">
        <w:trPr>
          <w:trHeight w:val="7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2273F00" w14:textId="77777777" w:rsidR="00293140" w:rsidRPr="00BB1728" w:rsidRDefault="00293140" w:rsidP="00C44929">
            <w:pPr>
              <w:spacing w:after="0"/>
              <w:rPr>
                <w:rFonts w:cs="Arial"/>
                <w:b w:val="0"/>
                <w:sz w:val="18"/>
                <w:szCs w:val="18"/>
              </w:rPr>
            </w:pPr>
            <w:r w:rsidRPr="00BB1728">
              <w:rPr>
                <w:rFonts w:cs="Arial"/>
                <w:b w:val="0"/>
                <w:sz w:val="18"/>
                <w:szCs w:val="18"/>
              </w:rPr>
              <w:t xml:space="preserve">Destruction of methane generated from dairy manure in covered anaerobic ponds* </w:t>
            </w:r>
          </w:p>
        </w:tc>
        <w:tc>
          <w:tcPr>
            <w:tcW w:w="6382" w:type="dxa"/>
            <w:shd w:val="clear" w:color="auto" w:fill="auto"/>
            <w:tcMar>
              <w:left w:w="57" w:type="dxa"/>
              <w:right w:w="57" w:type="dxa"/>
            </w:tcMar>
            <w:vAlign w:val="center"/>
          </w:tcPr>
          <w:p w14:paraId="66A8DFE7"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Prevents the release of methane generated from dairy manure by collecting the biogas from covered effluent ponds and combusting the methane component. The methane can be used to generate electricity.</w:t>
            </w:r>
          </w:p>
        </w:tc>
        <w:tc>
          <w:tcPr>
            <w:tcW w:w="1418" w:type="dxa"/>
            <w:shd w:val="clear" w:color="auto" w:fill="auto"/>
            <w:tcMar>
              <w:left w:w="57" w:type="dxa"/>
              <w:right w:w="57" w:type="dxa"/>
            </w:tcMar>
            <w:vAlign w:val="center"/>
          </w:tcPr>
          <w:p w14:paraId="77A29953"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0C5D54D8" w14:textId="77777777" w:rsidTr="004E011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9FEECBC" w14:textId="77777777" w:rsidR="00293140" w:rsidRPr="00BB1728" w:rsidRDefault="00293140" w:rsidP="00C44929">
            <w:pPr>
              <w:spacing w:after="0"/>
              <w:rPr>
                <w:rFonts w:cs="Arial"/>
                <w:b w:val="0"/>
                <w:sz w:val="18"/>
                <w:szCs w:val="18"/>
              </w:rPr>
            </w:pPr>
            <w:r w:rsidRPr="00BB1728">
              <w:rPr>
                <w:rFonts w:cs="Arial"/>
                <w:b w:val="0"/>
                <w:sz w:val="18"/>
                <w:szCs w:val="18"/>
              </w:rPr>
              <w:t>Beef cattle herd management</w:t>
            </w:r>
          </w:p>
        </w:tc>
        <w:tc>
          <w:tcPr>
            <w:tcW w:w="6382" w:type="dxa"/>
            <w:shd w:val="clear" w:color="auto" w:fill="auto"/>
            <w:tcMar>
              <w:left w:w="57" w:type="dxa"/>
              <w:right w:w="57" w:type="dxa"/>
            </w:tcMar>
            <w:vAlign w:val="center"/>
          </w:tcPr>
          <w:p w14:paraId="23CCC3DC" w14:textId="77777777" w:rsidR="00293140" w:rsidRPr="00BB1728" w:rsidRDefault="00293140" w:rsidP="00EA7744">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Reduces the emissions intensity of beef cattle production through a broad range of management activities such as supplement feeding, improving pastures and installing fences to control herd movements.</w:t>
            </w:r>
          </w:p>
        </w:tc>
        <w:tc>
          <w:tcPr>
            <w:tcW w:w="1418" w:type="dxa"/>
            <w:shd w:val="clear" w:color="auto" w:fill="auto"/>
            <w:tcMar>
              <w:left w:w="57" w:type="dxa"/>
              <w:right w:w="57" w:type="dxa"/>
            </w:tcMar>
            <w:vAlign w:val="center"/>
          </w:tcPr>
          <w:p w14:paraId="0182A76B"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0.2</w:t>
            </w:r>
          </w:p>
        </w:tc>
      </w:tr>
      <w:tr w:rsidR="00293140" w:rsidRPr="00C44929" w14:paraId="76D49F71" w14:textId="77777777" w:rsidTr="004E011A">
        <w:trPr>
          <w:trHeight w:val="7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38C92F2" w14:textId="77777777" w:rsidR="00293140" w:rsidRPr="00BB1728" w:rsidRDefault="00293140" w:rsidP="00C44929">
            <w:pPr>
              <w:spacing w:after="0"/>
              <w:rPr>
                <w:rFonts w:cs="Arial"/>
                <w:b w:val="0"/>
                <w:sz w:val="18"/>
                <w:szCs w:val="18"/>
              </w:rPr>
            </w:pPr>
            <w:r w:rsidRPr="00BB1728">
              <w:rPr>
                <w:rFonts w:cs="Arial"/>
                <w:b w:val="0"/>
                <w:sz w:val="18"/>
                <w:szCs w:val="18"/>
              </w:rPr>
              <w:t xml:space="preserve">Reducing greenhouse gas emissions in beef cattle through feeding nitrate containing supplements* </w:t>
            </w:r>
          </w:p>
        </w:tc>
        <w:tc>
          <w:tcPr>
            <w:tcW w:w="6382" w:type="dxa"/>
            <w:shd w:val="clear" w:color="auto" w:fill="auto"/>
            <w:tcMar>
              <w:left w:w="57" w:type="dxa"/>
              <w:right w:w="57" w:type="dxa"/>
            </w:tcMar>
            <w:vAlign w:val="center"/>
          </w:tcPr>
          <w:p w14:paraId="72EE4742"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Reduces methane emissions from enteric fermentation with nitrate lick blocks for pasture-fed beef cattle.</w:t>
            </w:r>
          </w:p>
        </w:tc>
        <w:tc>
          <w:tcPr>
            <w:tcW w:w="1418" w:type="dxa"/>
            <w:shd w:val="clear" w:color="auto" w:fill="auto"/>
            <w:tcMar>
              <w:left w:w="57" w:type="dxa"/>
              <w:right w:w="57" w:type="dxa"/>
            </w:tcMar>
            <w:vAlign w:val="center"/>
          </w:tcPr>
          <w:p w14:paraId="3A30A271"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2F1053DE" w14:textId="77777777" w:rsidTr="004E011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55F59C73" w14:textId="77777777" w:rsidR="00293140" w:rsidRPr="00BB1728" w:rsidRDefault="00293140" w:rsidP="00C44929">
            <w:pPr>
              <w:spacing w:after="0"/>
              <w:rPr>
                <w:rFonts w:cs="Arial"/>
                <w:b w:val="0"/>
                <w:sz w:val="18"/>
                <w:szCs w:val="18"/>
              </w:rPr>
            </w:pPr>
            <w:r w:rsidRPr="00BB1728">
              <w:rPr>
                <w:rFonts w:cs="Arial"/>
                <w:b w:val="0"/>
                <w:sz w:val="18"/>
                <w:szCs w:val="18"/>
              </w:rPr>
              <w:t>Reducing greenhouse gas emissions in milking cows through feeding dietary additives*</w:t>
            </w:r>
          </w:p>
        </w:tc>
        <w:tc>
          <w:tcPr>
            <w:tcW w:w="6382" w:type="dxa"/>
            <w:shd w:val="clear" w:color="auto" w:fill="auto"/>
            <w:tcMar>
              <w:left w:w="57" w:type="dxa"/>
              <w:right w:w="57" w:type="dxa"/>
            </w:tcMar>
            <w:vAlign w:val="center"/>
          </w:tcPr>
          <w:p w14:paraId="4A7FBEEB" w14:textId="7296B07C"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 xml:space="preserve">Reduces methane emissions from enteric fermentation </w:t>
            </w:r>
            <w:r w:rsidR="006A4B3D" w:rsidRPr="00BB1728">
              <w:rPr>
                <w:rFonts w:cs="Arial"/>
                <w:sz w:val="18"/>
                <w:szCs w:val="18"/>
              </w:rPr>
              <w:t xml:space="preserve">and manure </w:t>
            </w:r>
            <w:r w:rsidRPr="00BB1728">
              <w:rPr>
                <w:rFonts w:cs="Arial"/>
                <w:sz w:val="18"/>
                <w:szCs w:val="18"/>
              </w:rPr>
              <w:t>by changing dairy cows feed</w:t>
            </w:r>
            <w:r w:rsidR="008C0095">
              <w:rPr>
                <w:rFonts w:cs="Arial"/>
                <w:sz w:val="18"/>
                <w:szCs w:val="18"/>
              </w:rPr>
              <w:t>.</w:t>
            </w:r>
            <w:r w:rsidRPr="00BB1728">
              <w:rPr>
                <w:rFonts w:cs="Arial"/>
                <w:sz w:val="18"/>
                <w:szCs w:val="18"/>
              </w:rPr>
              <w:t xml:space="preserve"> </w:t>
            </w:r>
          </w:p>
        </w:tc>
        <w:tc>
          <w:tcPr>
            <w:tcW w:w="1418" w:type="dxa"/>
            <w:shd w:val="clear" w:color="auto" w:fill="auto"/>
            <w:tcMar>
              <w:left w:w="57" w:type="dxa"/>
              <w:right w:w="57" w:type="dxa"/>
            </w:tcMar>
            <w:vAlign w:val="center"/>
          </w:tcPr>
          <w:p w14:paraId="21CC20BA"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3DA9A968" w14:textId="77777777" w:rsidTr="004E011A">
        <w:trPr>
          <w:trHeight w:val="186"/>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C7EFF2"/>
            <w:tcMar>
              <w:left w:w="57" w:type="dxa"/>
              <w:right w:w="57" w:type="dxa"/>
            </w:tcMar>
            <w:vAlign w:val="center"/>
          </w:tcPr>
          <w:p w14:paraId="206E2C64" w14:textId="0903C789" w:rsidR="00293140" w:rsidRPr="00BB1728" w:rsidRDefault="00293140" w:rsidP="00C44929">
            <w:pPr>
              <w:spacing w:after="0"/>
              <w:rPr>
                <w:rFonts w:cs="Arial"/>
                <w:sz w:val="18"/>
                <w:szCs w:val="18"/>
              </w:rPr>
            </w:pPr>
            <w:r w:rsidRPr="00BB1728">
              <w:rPr>
                <w:rFonts w:cs="Arial"/>
                <w:sz w:val="18"/>
                <w:szCs w:val="18"/>
              </w:rPr>
              <w:t xml:space="preserve">Savanna </w:t>
            </w:r>
            <w:r w:rsidR="00746089">
              <w:rPr>
                <w:rFonts w:cs="Arial"/>
                <w:sz w:val="18"/>
                <w:szCs w:val="18"/>
              </w:rPr>
              <w:t>b</w:t>
            </w:r>
            <w:r w:rsidRPr="00BB1728">
              <w:rPr>
                <w:rFonts w:cs="Arial"/>
                <w:sz w:val="18"/>
                <w:szCs w:val="18"/>
              </w:rPr>
              <w:t>urning</w:t>
            </w:r>
          </w:p>
        </w:tc>
      </w:tr>
      <w:tr w:rsidR="00293140" w:rsidRPr="00C44929" w14:paraId="189E8813"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0D4D3A6" w14:textId="77777777" w:rsidR="00293140" w:rsidRPr="00BB1728" w:rsidRDefault="00293140" w:rsidP="00C44929">
            <w:pPr>
              <w:spacing w:after="0"/>
              <w:rPr>
                <w:rFonts w:cs="Arial"/>
                <w:b w:val="0"/>
                <w:sz w:val="18"/>
                <w:szCs w:val="18"/>
              </w:rPr>
            </w:pPr>
            <w:r w:rsidRPr="00BB1728">
              <w:rPr>
                <w:rFonts w:cs="Arial"/>
                <w:b w:val="0"/>
                <w:sz w:val="18"/>
                <w:szCs w:val="18"/>
              </w:rPr>
              <w:t>Savanna fire management</w:t>
            </w:r>
          </w:p>
        </w:tc>
        <w:tc>
          <w:tcPr>
            <w:tcW w:w="6382" w:type="dxa"/>
            <w:shd w:val="clear" w:color="auto" w:fill="auto"/>
            <w:tcMar>
              <w:left w:w="57" w:type="dxa"/>
              <w:right w:w="57" w:type="dxa"/>
            </w:tcMar>
            <w:vAlign w:val="center"/>
          </w:tcPr>
          <w:p w14:paraId="6FC84B1D"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Reduces greenhouse gas emissions through fire management in the early dry season in northern savannas, aimed at reducing the incidence and extent of larger, higher intensity late dry season fires.</w:t>
            </w:r>
          </w:p>
        </w:tc>
        <w:tc>
          <w:tcPr>
            <w:tcW w:w="1418" w:type="dxa"/>
            <w:shd w:val="clear" w:color="auto" w:fill="auto"/>
            <w:tcMar>
              <w:left w:w="57" w:type="dxa"/>
              <w:right w:w="57" w:type="dxa"/>
            </w:tcMar>
            <w:vAlign w:val="center"/>
          </w:tcPr>
          <w:p w14:paraId="71F68022" w14:textId="673E6C21" w:rsidR="00293140" w:rsidRPr="00BB1728" w:rsidRDefault="00746A74" w:rsidP="00746A74">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13.8</w:t>
            </w:r>
          </w:p>
        </w:tc>
      </w:tr>
      <w:tr w:rsidR="00293140" w:rsidRPr="00C44929" w14:paraId="146D0A4B" w14:textId="77777777" w:rsidTr="004E011A">
        <w:trPr>
          <w:trHeight w:val="173"/>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C7EFF2"/>
            <w:tcMar>
              <w:left w:w="57" w:type="dxa"/>
              <w:right w:w="57" w:type="dxa"/>
            </w:tcMar>
            <w:vAlign w:val="center"/>
          </w:tcPr>
          <w:p w14:paraId="14D6EDCA" w14:textId="77777777" w:rsidR="00293140" w:rsidRPr="00BB1728" w:rsidRDefault="00293140" w:rsidP="00C44929">
            <w:pPr>
              <w:spacing w:after="0"/>
              <w:rPr>
                <w:rFonts w:cs="Arial"/>
                <w:sz w:val="18"/>
                <w:szCs w:val="18"/>
              </w:rPr>
            </w:pPr>
            <w:r w:rsidRPr="00BB1728">
              <w:rPr>
                <w:rFonts w:cs="Arial"/>
                <w:sz w:val="18"/>
                <w:szCs w:val="18"/>
              </w:rPr>
              <w:t>Fugitives (Mining, oil and gas)</w:t>
            </w:r>
          </w:p>
        </w:tc>
      </w:tr>
      <w:tr w:rsidR="00293140" w:rsidRPr="00C44929" w14:paraId="5B9A6F0A"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630A3A8" w14:textId="77777777" w:rsidR="00293140" w:rsidRPr="00BB1728" w:rsidRDefault="00293140" w:rsidP="00C44929">
            <w:pPr>
              <w:spacing w:after="0"/>
              <w:rPr>
                <w:rFonts w:cs="Arial"/>
                <w:b w:val="0"/>
                <w:sz w:val="18"/>
                <w:szCs w:val="18"/>
              </w:rPr>
            </w:pPr>
            <w:r w:rsidRPr="00BB1728">
              <w:rPr>
                <w:rFonts w:cs="Arial"/>
                <w:b w:val="0"/>
                <w:sz w:val="18"/>
                <w:szCs w:val="18"/>
              </w:rPr>
              <w:t>Coal mine waste gas</w:t>
            </w:r>
          </w:p>
        </w:tc>
        <w:tc>
          <w:tcPr>
            <w:tcW w:w="6382" w:type="dxa"/>
            <w:shd w:val="clear" w:color="auto" w:fill="auto"/>
            <w:tcMar>
              <w:left w:w="57" w:type="dxa"/>
              <w:right w:w="57" w:type="dxa"/>
            </w:tcMar>
            <w:vAlign w:val="center"/>
          </w:tcPr>
          <w:p w14:paraId="030337A8"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Reduces coal mine waste gas methane by installing or expanding the operation of a flare or an electricity production system. Projects may be credited both for methane destruction and for electricity displacement.</w:t>
            </w:r>
          </w:p>
        </w:tc>
        <w:tc>
          <w:tcPr>
            <w:tcW w:w="1418" w:type="dxa"/>
            <w:shd w:val="clear" w:color="auto" w:fill="auto"/>
            <w:tcMar>
              <w:left w:w="57" w:type="dxa"/>
              <w:right w:w="57" w:type="dxa"/>
            </w:tcMar>
            <w:vAlign w:val="center"/>
          </w:tcPr>
          <w:p w14:paraId="2D7AD06B"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5.3</w:t>
            </w:r>
          </w:p>
        </w:tc>
      </w:tr>
      <w:tr w:rsidR="00293140" w:rsidRPr="00C44929" w14:paraId="7F0E2473" w14:textId="77777777" w:rsidTr="004E011A">
        <w:trPr>
          <w:trHeight w:val="37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4EA2BF21" w14:textId="77777777" w:rsidR="00293140" w:rsidRPr="00BB1728" w:rsidRDefault="00293140" w:rsidP="00C44929">
            <w:pPr>
              <w:spacing w:after="0"/>
              <w:rPr>
                <w:rFonts w:cs="Arial"/>
                <w:b w:val="0"/>
                <w:sz w:val="18"/>
                <w:szCs w:val="18"/>
              </w:rPr>
            </w:pPr>
            <w:r w:rsidRPr="00BB1728">
              <w:rPr>
                <w:rFonts w:cs="Arial"/>
                <w:b w:val="0"/>
                <w:sz w:val="18"/>
                <w:szCs w:val="18"/>
              </w:rPr>
              <w:t>Oil and gas fugitives</w:t>
            </w:r>
          </w:p>
        </w:tc>
        <w:tc>
          <w:tcPr>
            <w:tcW w:w="6382" w:type="dxa"/>
            <w:shd w:val="clear" w:color="auto" w:fill="auto"/>
            <w:tcMar>
              <w:left w:w="57" w:type="dxa"/>
              <w:right w:w="57" w:type="dxa"/>
            </w:tcMar>
            <w:vAlign w:val="center"/>
          </w:tcPr>
          <w:p w14:paraId="548B2F6D"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 xml:space="preserve">Reduces fugitive methane emissions from venting at oil and natural gas extraction, production, transport and processing facilities through the use of flares. </w:t>
            </w:r>
          </w:p>
        </w:tc>
        <w:tc>
          <w:tcPr>
            <w:tcW w:w="1418" w:type="dxa"/>
            <w:shd w:val="clear" w:color="auto" w:fill="auto"/>
            <w:tcMar>
              <w:left w:w="57" w:type="dxa"/>
              <w:right w:w="57" w:type="dxa"/>
            </w:tcMar>
            <w:vAlign w:val="center"/>
          </w:tcPr>
          <w:p w14:paraId="7AA74BA6"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11D39648" w14:textId="77777777" w:rsidTr="004E011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23" w:type="dxa"/>
            <w:shd w:val="clear" w:color="auto" w:fill="C7EFF2"/>
            <w:tcMar>
              <w:left w:w="57" w:type="dxa"/>
              <w:right w:w="57" w:type="dxa"/>
            </w:tcMar>
            <w:vAlign w:val="center"/>
          </w:tcPr>
          <w:p w14:paraId="5C994770" w14:textId="77777777" w:rsidR="00293140" w:rsidRPr="00BB1728" w:rsidRDefault="00293140" w:rsidP="00C44929">
            <w:pPr>
              <w:spacing w:after="0"/>
              <w:rPr>
                <w:rFonts w:cs="Arial"/>
                <w:sz w:val="18"/>
                <w:szCs w:val="18"/>
              </w:rPr>
            </w:pPr>
            <w:r w:rsidRPr="00BB1728">
              <w:rPr>
                <w:rFonts w:cs="Arial"/>
                <w:sz w:val="18"/>
                <w:szCs w:val="18"/>
              </w:rPr>
              <w:t>Energy efficiency</w:t>
            </w:r>
          </w:p>
        </w:tc>
        <w:tc>
          <w:tcPr>
            <w:tcW w:w="6382" w:type="dxa"/>
            <w:shd w:val="clear" w:color="auto" w:fill="C7EFF2"/>
            <w:tcMar>
              <w:left w:w="57" w:type="dxa"/>
              <w:right w:w="57" w:type="dxa"/>
            </w:tcMar>
            <w:vAlign w:val="center"/>
          </w:tcPr>
          <w:p w14:paraId="7F5670AC"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418" w:type="dxa"/>
            <w:shd w:val="clear" w:color="auto" w:fill="C7EFF2"/>
            <w:tcMar>
              <w:left w:w="57" w:type="dxa"/>
              <w:right w:w="57" w:type="dxa"/>
            </w:tcMar>
            <w:vAlign w:val="center"/>
          </w:tcPr>
          <w:p w14:paraId="322D6049"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93140" w:rsidRPr="00C44929" w14:paraId="00CED0CB" w14:textId="77777777" w:rsidTr="004E011A">
        <w:trPr>
          <w:trHeight w:val="5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7D38FFC0" w14:textId="77777777" w:rsidR="00293140" w:rsidRPr="00BB1728" w:rsidRDefault="00293140" w:rsidP="00C44929">
            <w:pPr>
              <w:spacing w:after="0"/>
              <w:rPr>
                <w:rFonts w:cs="Arial"/>
                <w:b w:val="0"/>
                <w:sz w:val="18"/>
                <w:szCs w:val="18"/>
              </w:rPr>
            </w:pPr>
            <w:r w:rsidRPr="00BB1728">
              <w:rPr>
                <w:rFonts w:cs="Arial"/>
                <w:b w:val="0"/>
                <w:sz w:val="18"/>
                <w:szCs w:val="18"/>
              </w:rPr>
              <w:t>Aggregated small energy users</w:t>
            </w:r>
          </w:p>
        </w:tc>
        <w:tc>
          <w:tcPr>
            <w:tcW w:w="6382" w:type="dxa"/>
            <w:shd w:val="clear" w:color="auto" w:fill="auto"/>
            <w:tcMar>
              <w:left w:w="57" w:type="dxa"/>
              <w:right w:w="57" w:type="dxa"/>
            </w:tcMar>
            <w:vAlign w:val="center"/>
          </w:tcPr>
          <w:p w14:paraId="0EB8606A" w14:textId="77777777" w:rsidR="00293140" w:rsidRPr="00BB1728" w:rsidRDefault="00293140" w:rsidP="00EA7744">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Improve energy efficiency and reduce emissions amongst a large group of households or small businesses by for example switching to LED lighting or installing more efficient water heating systems.</w:t>
            </w:r>
          </w:p>
        </w:tc>
        <w:tc>
          <w:tcPr>
            <w:tcW w:w="1418" w:type="dxa"/>
            <w:shd w:val="clear" w:color="auto" w:fill="auto"/>
            <w:tcMar>
              <w:left w:w="57" w:type="dxa"/>
              <w:right w:w="57" w:type="dxa"/>
            </w:tcMar>
            <w:vAlign w:val="center"/>
          </w:tcPr>
          <w:p w14:paraId="52577921"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62C1758E" w14:textId="77777777" w:rsidTr="004E011A">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192C9B25" w14:textId="77777777" w:rsidR="00293140" w:rsidRPr="00BB1728" w:rsidRDefault="00293140" w:rsidP="00C44929">
            <w:pPr>
              <w:spacing w:after="0"/>
              <w:rPr>
                <w:rFonts w:cs="Arial"/>
                <w:b w:val="0"/>
                <w:sz w:val="18"/>
                <w:szCs w:val="18"/>
              </w:rPr>
            </w:pPr>
            <w:r w:rsidRPr="00BB1728">
              <w:rPr>
                <w:rFonts w:cs="Arial"/>
                <w:b w:val="0"/>
                <w:sz w:val="18"/>
                <w:szCs w:val="18"/>
              </w:rPr>
              <w:t>Commercial and public lighting</w:t>
            </w:r>
          </w:p>
        </w:tc>
        <w:tc>
          <w:tcPr>
            <w:tcW w:w="6382" w:type="dxa"/>
            <w:shd w:val="clear" w:color="auto" w:fill="auto"/>
            <w:tcMar>
              <w:left w:w="57" w:type="dxa"/>
              <w:right w:w="57" w:type="dxa"/>
            </w:tcMar>
            <w:vAlign w:val="center"/>
          </w:tcPr>
          <w:p w14:paraId="5F48920A"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Improves the energy efficiency of lighting systems in commercial, industrial or public buildings or in public areas. Projects can include modification of existing lighting equipment or control systems.</w:t>
            </w:r>
          </w:p>
        </w:tc>
        <w:tc>
          <w:tcPr>
            <w:tcW w:w="1418" w:type="dxa"/>
            <w:shd w:val="clear" w:color="auto" w:fill="auto"/>
            <w:tcMar>
              <w:left w:w="57" w:type="dxa"/>
              <w:right w:w="57" w:type="dxa"/>
            </w:tcMar>
            <w:vAlign w:val="center"/>
          </w:tcPr>
          <w:p w14:paraId="7E17666E"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2.6</w:t>
            </w:r>
          </w:p>
        </w:tc>
      </w:tr>
      <w:tr w:rsidR="00293140" w:rsidRPr="00C44929" w14:paraId="4A65A683" w14:textId="77777777" w:rsidTr="004E011A">
        <w:trPr>
          <w:trHeight w:val="1118"/>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2C7C27F" w14:textId="77777777" w:rsidR="00293140" w:rsidRPr="00BB1728" w:rsidRDefault="00293140" w:rsidP="00C44929">
            <w:pPr>
              <w:spacing w:after="0"/>
              <w:rPr>
                <w:rFonts w:cs="Arial"/>
                <w:b w:val="0"/>
                <w:sz w:val="18"/>
                <w:szCs w:val="18"/>
              </w:rPr>
            </w:pPr>
            <w:r w:rsidRPr="00BB1728">
              <w:rPr>
                <w:rFonts w:cs="Arial"/>
                <w:b w:val="0"/>
                <w:sz w:val="18"/>
                <w:szCs w:val="18"/>
              </w:rPr>
              <w:t>Commercial building energy efficiency</w:t>
            </w:r>
          </w:p>
        </w:tc>
        <w:tc>
          <w:tcPr>
            <w:tcW w:w="6382" w:type="dxa"/>
            <w:shd w:val="clear" w:color="auto" w:fill="auto"/>
            <w:tcMar>
              <w:left w:w="57" w:type="dxa"/>
              <w:right w:w="57" w:type="dxa"/>
            </w:tcMar>
            <w:vAlign w:val="center"/>
          </w:tcPr>
          <w:p w14:paraId="347D49EB" w14:textId="39D10690"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Improves the energy efficiency of a single building or a group of buildings</w:t>
            </w:r>
            <w:r w:rsidR="000069F2" w:rsidRPr="00BB1728">
              <w:rPr>
                <w:rFonts w:cs="Arial"/>
                <w:sz w:val="18"/>
                <w:szCs w:val="18"/>
              </w:rPr>
              <w:t xml:space="preserve"> in offices, hotels and shopping centres</w:t>
            </w:r>
            <w:r w:rsidRPr="00BB1728">
              <w:rPr>
                <w:rFonts w:cs="Arial"/>
                <w:sz w:val="18"/>
                <w:szCs w:val="18"/>
              </w:rPr>
              <w:t xml:space="preserve"> to reduce their emissions intensity. Projects can include upgrading lighting systems or introducing more energy efficient heating and cooling systems, or changing the components or shell of the building to reduce energy consumption.</w:t>
            </w:r>
          </w:p>
        </w:tc>
        <w:tc>
          <w:tcPr>
            <w:tcW w:w="1418" w:type="dxa"/>
            <w:shd w:val="clear" w:color="auto" w:fill="auto"/>
            <w:tcMar>
              <w:left w:w="57" w:type="dxa"/>
              <w:right w:w="57" w:type="dxa"/>
            </w:tcMar>
            <w:vAlign w:val="center"/>
          </w:tcPr>
          <w:p w14:paraId="458996A9"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49253E6F" w14:textId="77777777" w:rsidTr="004E011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tcPr>
          <w:p w14:paraId="38B1D69E" w14:textId="77777777" w:rsidR="00293140" w:rsidRPr="00BB1728" w:rsidRDefault="00293140" w:rsidP="00C44929">
            <w:pPr>
              <w:spacing w:after="0"/>
              <w:rPr>
                <w:rFonts w:cs="Arial"/>
                <w:b w:val="0"/>
                <w:sz w:val="18"/>
                <w:szCs w:val="18"/>
              </w:rPr>
            </w:pPr>
            <w:r w:rsidRPr="00BB1728">
              <w:rPr>
                <w:rFonts w:cs="Arial"/>
                <w:b w:val="0"/>
                <w:sz w:val="18"/>
                <w:szCs w:val="18"/>
              </w:rPr>
              <w:t>High efficiency commercial appliances</w:t>
            </w:r>
          </w:p>
        </w:tc>
        <w:tc>
          <w:tcPr>
            <w:tcW w:w="6382" w:type="dxa"/>
            <w:shd w:val="clear" w:color="auto" w:fill="auto"/>
            <w:tcMar>
              <w:left w:w="57" w:type="dxa"/>
              <w:right w:w="57" w:type="dxa"/>
            </w:tcMar>
            <w:vAlign w:val="center"/>
          </w:tcPr>
          <w:p w14:paraId="19833BE0" w14:textId="540731B4"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 xml:space="preserve">Improves the energy efficiency of commercial appliances such as air conditioners and refrigerated display cabinets by upgrading existing appliances or installing </w:t>
            </w:r>
            <w:r w:rsidR="00193A87">
              <w:rPr>
                <w:rFonts w:cs="Arial"/>
                <w:sz w:val="18"/>
                <w:szCs w:val="18"/>
              </w:rPr>
              <w:t xml:space="preserve">new </w:t>
            </w:r>
            <w:r w:rsidRPr="00BB1728">
              <w:rPr>
                <w:rFonts w:cs="Arial"/>
                <w:sz w:val="18"/>
                <w:szCs w:val="18"/>
              </w:rPr>
              <w:t>ones.</w:t>
            </w:r>
          </w:p>
        </w:tc>
        <w:tc>
          <w:tcPr>
            <w:tcW w:w="1418" w:type="dxa"/>
            <w:shd w:val="clear" w:color="auto" w:fill="auto"/>
            <w:tcMar>
              <w:left w:w="57" w:type="dxa"/>
              <w:right w:w="57" w:type="dxa"/>
            </w:tcMar>
            <w:vAlign w:val="center"/>
          </w:tcPr>
          <w:p w14:paraId="5A9CB6FF"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4D7587E5" w14:textId="77777777" w:rsidTr="004E011A">
        <w:trPr>
          <w:trHeight w:val="932"/>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4D91472" w14:textId="71B38ECB" w:rsidR="00293140" w:rsidRPr="00BB1728" w:rsidRDefault="00293140" w:rsidP="00C44929">
            <w:pPr>
              <w:spacing w:after="0"/>
              <w:rPr>
                <w:rFonts w:cs="Arial"/>
                <w:b w:val="0"/>
                <w:sz w:val="18"/>
                <w:szCs w:val="18"/>
              </w:rPr>
            </w:pPr>
            <w:r w:rsidRPr="00BB1728">
              <w:rPr>
                <w:rFonts w:cs="Arial"/>
                <w:b w:val="0"/>
                <w:sz w:val="18"/>
                <w:szCs w:val="18"/>
              </w:rPr>
              <w:t xml:space="preserve">Industrial </w:t>
            </w:r>
            <w:r w:rsidR="008C0095">
              <w:rPr>
                <w:rFonts w:cs="Arial"/>
                <w:b w:val="0"/>
                <w:sz w:val="18"/>
                <w:szCs w:val="18"/>
              </w:rPr>
              <w:t>e</w:t>
            </w:r>
            <w:r w:rsidRPr="00BB1728">
              <w:rPr>
                <w:rFonts w:cs="Arial"/>
                <w:b w:val="0"/>
                <w:sz w:val="18"/>
                <w:szCs w:val="18"/>
              </w:rPr>
              <w:t xml:space="preserve">lectricity and </w:t>
            </w:r>
            <w:r w:rsidR="008C0095">
              <w:rPr>
                <w:rFonts w:cs="Arial"/>
                <w:b w:val="0"/>
                <w:sz w:val="18"/>
                <w:szCs w:val="18"/>
              </w:rPr>
              <w:t>f</w:t>
            </w:r>
            <w:r w:rsidRPr="00BB1728">
              <w:rPr>
                <w:rFonts w:cs="Arial"/>
                <w:b w:val="0"/>
                <w:sz w:val="18"/>
                <w:szCs w:val="18"/>
              </w:rPr>
              <w:t xml:space="preserve">uel </w:t>
            </w:r>
            <w:r w:rsidR="008C0095">
              <w:rPr>
                <w:rFonts w:cs="Arial"/>
                <w:b w:val="0"/>
                <w:sz w:val="18"/>
                <w:szCs w:val="18"/>
              </w:rPr>
              <w:t>e</w:t>
            </w:r>
            <w:r w:rsidRPr="00BB1728">
              <w:rPr>
                <w:rFonts w:cs="Arial"/>
                <w:b w:val="0"/>
                <w:sz w:val="18"/>
                <w:szCs w:val="18"/>
              </w:rPr>
              <w:t>fficiency</w:t>
            </w:r>
          </w:p>
        </w:tc>
        <w:tc>
          <w:tcPr>
            <w:tcW w:w="6382" w:type="dxa"/>
            <w:shd w:val="clear" w:color="auto" w:fill="auto"/>
            <w:tcMar>
              <w:left w:w="57" w:type="dxa"/>
              <w:right w:w="57" w:type="dxa"/>
            </w:tcMar>
            <w:vAlign w:val="center"/>
          </w:tcPr>
          <w:p w14:paraId="06F23761"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 xml:space="preserve">Improves the energy efficiency of commercial or industrial equipment by upgrading equipment such as boilers or pumps or converting equipment to operate on lower emissions fuel (fuel switching). </w:t>
            </w:r>
          </w:p>
        </w:tc>
        <w:tc>
          <w:tcPr>
            <w:tcW w:w="1418" w:type="dxa"/>
            <w:shd w:val="clear" w:color="auto" w:fill="auto"/>
            <w:tcMar>
              <w:left w:w="57" w:type="dxa"/>
              <w:right w:w="57" w:type="dxa"/>
            </w:tcMar>
            <w:vAlign w:val="center"/>
          </w:tcPr>
          <w:p w14:paraId="15432F2D"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2.0</w:t>
            </w:r>
          </w:p>
        </w:tc>
      </w:tr>
      <w:tr w:rsidR="00293140" w:rsidRPr="00C44929" w14:paraId="01592218"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0EB3F06" w14:textId="31E64D68" w:rsidR="00293140" w:rsidRPr="00BB1728" w:rsidRDefault="00293140" w:rsidP="00C44929">
            <w:pPr>
              <w:spacing w:after="0"/>
              <w:rPr>
                <w:rFonts w:cs="Arial"/>
                <w:b w:val="0"/>
                <w:sz w:val="18"/>
                <w:szCs w:val="18"/>
              </w:rPr>
            </w:pPr>
            <w:r w:rsidRPr="00BB1728">
              <w:rPr>
                <w:rFonts w:cs="Arial"/>
                <w:b w:val="0"/>
                <w:sz w:val="18"/>
                <w:szCs w:val="18"/>
              </w:rPr>
              <w:t xml:space="preserve">Refrigeration and </w:t>
            </w:r>
            <w:r w:rsidR="009D289B">
              <w:rPr>
                <w:rFonts w:cs="Arial"/>
                <w:b w:val="0"/>
                <w:sz w:val="18"/>
                <w:szCs w:val="18"/>
              </w:rPr>
              <w:t>v</w:t>
            </w:r>
            <w:r w:rsidRPr="00BB1728">
              <w:rPr>
                <w:rFonts w:cs="Arial"/>
                <w:b w:val="0"/>
                <w:sz w:val="18"/>
                <w:szCs w:val="18"/>
              </w:rPr>
              <w:t xml:space="preserve">entilation </w:t>
            </w:r>
            <w:r w:rsidR="009D289B">
              <w:rPr>
                <w:rFonts w:cs="Arial"/>
                <w:b w:val="0"/>
                <w:sz w:val="18"/>
                <w:szCs w:val="18"/>
              </w:rPr>
              <w:t>f</w:t>
            </w:r>
            <w:r w:rsidRPr="00BB1728">
              <w:rPr>
                <w:rFonts w:cs="Arial"/>
                <w:b w:val="0"/>
                <w:sz w:val="18"/>
                <w:szCs w:val="18"/>
              </w:rPr>
              <w:t>ans</w:t>
            </w:r>
          </w:p>
        </w:tc>
        <w:tc>
          <w:tcPr>
            <w:tcW w:w="6382" w:type="dxa"/>
            <w:shd w:val="clear" w:color="auto" w:fill="auto"/>
            <w:tcMar>
              <w:left w:w="57" w:type="dxa"/>
              <w:right w:w="57" w:type="dxa"/>
            </w:tcMar>
            <w:vAlign w:val="center"/>
          </w:tcPr>
          <w:p w14:paraId="4BDD930F"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Improves the energy efficiency of fans used in refrigeration systems such as refrigerated display cabinets and cold storage warehouses, as well as fans ventilating commercial and industrial buildings. Scheme participants can upgrade existing fans or install new ones.</w:t>
            </w:r>
          </w:p>
        </w:tc>
        <w:tc>
          <w:tcPr>
            <w:tcW w:w="1418" w:type="dxa"/>
            <w:shd w:val="clear" w:color="auto" w:fill="auto"/>
            <w:tcMar>
              <w:left w:w="57" w:type="dxa"/>
              <w:right w:w="57" w:type="dxa"/>
            </w:tcMar>
            <w:vAlign w:val="center"/>
          </w:tcPr>
          <w:p w14:paraId="0E5F840A"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6FF8EF0C" w14:textId="77777777" w:rsidTr="004E011A">
        <w:trPr>
          <w:trHeight w:val="173"/>
        </w:trPr>
        <w:tc>
          <w:tcPr>
            <w:cnfStyle w:val="001000000000" w:firstRow="0" w:lastRow="0" w:firstColumn="1" w:lastColumn="0" w:oddVBand="0" w:evenVBand="0" w:oddHBand="0" w:evenHBand="0" w:firstRowFirstColumn="0" w:firstRowLastColumn="0" w:lastRowFirstColumn="0" w:lastRowLastColumn="0"/>
            <w:tcW w:w="2123" w:type="dxa"/>
            <w:shd w:val="clear" w:color="auto" w:fill="C7EFF2"/>
            <w:tcMar>
              <w:left w:w="57" w:type="dxa"/>
              <w:right w:w="57" w:type="dxa"/>
            </w:tcMar>
            <w:vAlign w:val="center"/>
          </w:tcPr>
          <w:p w14:paraId="537D9782" w14:textId="77777777" w:rsidR="00293140" w:rsidRPr="00BB1728" w:rsidRDefault="00293140" w:rsidP="00C44929">
            <w:pPr>
              <w:spacing w:after="0"/>
              <w:rPr>
                <w:rFonts w:cs="Arial"/>
                <w:sz w:val="18"/>
                <w:szCs w:val="18"/>
              </w:rPr>
            </w:pPr>
            <w:r w:rsidRPr="00BB1728">
              <w:rPr>
                <w:rFonts w:cs="Arial"/>
                <w:sz w:val="18"/>
                <w:szCs w:val="18"/>
              </w:rPr>
              <w:t>Transport</w:t>
            </w:r>
          </w:p>
        </w:tc>
        <w:tc>
          <w:tcPr>
            <w:tcW w:w="6382" w:type="dxa"/>
            <w:shd w:val="clear" w:color="auto" w:fill="C7EFF2"/>
            <w:tcMar>
              <w:left w:w="57" w:type="dxa"/>
              <w:right w:w="57" w:type="dxa"/>
            </w:tcMar>
            <w:vAlign w:val="center"/>
          </w:tcPr>
          <w:p w14:paraId="142A3730"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418" w:type="dxa"/>
            <w:shd w:val="clear" w:color="auto" w:fill="C7EFF2"/>
            <w:tcMar>
              <w:left w:w="57" w:type="dxa"/>
              <w:right w:w="57" w:type="dxa"/>
            </w:tcMar>
            <w:vAlign w:val="center"/>
          </w:tcPr>
          <w:p w14:paraId="3293ED07"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293140" w:rsidRPr="00C44929" w14:paraId="61A5D543" w14:textId="77777777" w:rsidTr="004E011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BF78078" w14:textId="77777777" w:rsidR="00293140" w:rsidRPr="00BB1728" w:rsidRDefault="00293140" w:rsidP="00C44929">
            <w:pPr>
              <w:spacing w:after="0"/>
              <w:rPr>
                <w:rFonts w:cs="Arial"/>
                <w:b w:val="0"/>
                <w:sz w:val="18"/>
                <w:szCs w:val="18"/>
              </w:rPr>
            </w:pPr>
            <w:r w:rsidRPr="00BB1728">
              <w:rPr>
                <w:rFonts w:cs="Arial"/>
                <w:b w:val="0"/>
                <w:sz w:val="18"/>
                <w:szCs w:val="18"/>
              </w:rPr>
              <w:t>Land and sea transport</w:t>
            </w:r>
          </w:p>
        </w:tc>
        <w:tc>
          <w:tcPr>
            <w:tcW w:w="6382" w:type="dxa"/>
            <w:shd w:val="clear" w:color="auto" w:fill="auto"/>
            <w:tcMar>
              <w:left w:w="57" w:type="dxa"/>
              <w:right w:w="57" w:type="dxa"/>
            </w:tcMar>
            <w:vAlign w:val="center"/>
          </w:tcPr>
          <w:p w14:paraId="21083EA8"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Reduces the emissions intensity of vehicles by replacing existing vehicles, modifying existing vehicles, changing energy sources (fuel switching) or mix of energy sources, and changing operational practices.</w:t>
            </w:r>
          </w:p>
        </w:tc>
        <w:tc>
          <w:tcPr>
            <w:tcW w:w="1418" w:type="dxa"/>
            <w:shd w:val="clear" w:color="auto" w:fill="auto"/>
            <w:tcMar>
              <w:left w:w="57" w:type="dxa"/>
              <w:right w:w="57" w:type="dxa"/>
            </w:tcMar>
            <w:vAlign w:val="center"/>
          </w:tcPr>
          <w:p w14:paraId="54587C4F" w14:textId="77777777" w:rsidR="00293140" w:rsidRPr="00BB1728" w:rsidRDefault="00293140" w:rsidP="00C44929">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B1728">
              <w:rPr>
                <w:rFonts w:cs="Arial"/>
                <w:sz w:val="18"/>
                <w:szCs w:val="18"/>
              </w:rPr>
              <w:t>1.2</w:t>
            </w:r>
          </w:p>
        </w:tc>
      </w:tr>
      <w:tr w:rsidR="00293140" w:rsidRPr="00C44929" w14:paraId="59146121" w14:textId="77777777" w:rsidTr="004E011A">
        <w:trPr>
          <w:trHeight w:val="559"/>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31F36121" w14:textId="77777777" w:rsidR="00293140" w:rsidRPr="00BB1728" w:rsidRDefault="00293140" w:rsidP="00C44929">
            <w:pPr>
              <w:spacing w:after="0"/>
              <w:rPr>
                <w:rFonts w:cs="Arial"/>
                <w:b w:val="0"/>
                <w:sz w:val="18"/>
                <w:szCs w:val="18"/>
              </w:rPr>
            </w:pPr>
            <w:r w:rsidRPr="00BB1728">
              <w:rPr>
                <w:rFonts w:cs="Arial"/>
                <w:b w:val="0"/>
                <w:sz w:val="18"/>
                <w:szCs w:val="18"/>
              </w:rPr>
              <w:t>Aviation</w:t>
            </w:r>
          </w:p>
        </w:tc>
        <w:tc>
          <w:tcPr>
            <w:tcW w:w="6382" w:type="dxa"/>
            <w:shd w:val="clear" w:color="auto" w:fill="auto"/>
            <w:tcMar>
              <w:left w:w="57" w:type="dxa"/>
              <w:right w:w="57" w:type="dxa"/>
            </w:tcMar>
            <w:vAlign w:val="center"/>
          </w:tcPr>
          <w:p w14:paraId="60E1F724" w14:textId="77777777"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Improves the energy efficiency of air transport through a broad range of activities including modifying existing planes, changing energy sources or the mix of energy sources, and changing operational practices.</w:t>
            </w:r>
          </w:p>
        </w:tc>
        <w:tc>
          <w:tcPr>
            <w:tcW w:w="1418" w:type="dxa"/>
            <w:shd w:val="clear" w:color="auto" w:fill="auto"/>
            <w:tcMar>
              <w:left w:w="57" w:type="dxa"/>
              <w:right w:w="57" w:type="dxa"/>
            </w:tcMar>
            <w:vAlign w:val="center"/>
          </w:tcPr>
          <w:p w14:paraId="57D31D35"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r w:rsidR="00293140" w:rsidRPr="00C44929" w14:paraId="5817E071" w14:textId="77777777" w:rsidTr="004E011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23" w:type="dxa"/>
            <w:shd w:val="clear" w:color="auto" w:fill="C7EFF2"/>
            <w:tcMar>
              <w:left w:w="57" w:type="dxa"/>
              <w:right w:w="57" w:type="dxa"/>
            </w:tcMar>
            <w:vAlign w:val="center"/>
          </w:tcPr>
          <w:p w14:paraId="7DDF17E2" w14:textId="77777777" w:rsidR="00293140" w:rsidRPr="00BB1728" w:rsidRDefault="00293140" w:rsidP="00C44929">
            <w:pPr>
              <w:spacing w:after="0"/>
              <w:rPr>
                <w:rFonts w:cs="Arial"/>
                <w:sz w:val="18"/>
                <w:szCs w:val="18"/>
              </w:rPr>
            </w:pPr>
            <w:r w:rsidRPr="00BB1728">
              <w:rPr>
                <w:rFonts w:cs="Arial"/>
                <w:sz w:val="18"/>
                <w:szCs w:val="18"/>
              </w:rPr>
              <w:t>Facilities</w:t>
            </w:r>
          </w:p>
        </w:tc>
        <w:tc>
          <w:tcPr>
            <w:tcW w:w="6382" w:type="dxa"/>
            <w:shd w:val="clear" w:color="auto" w:fill="C7EFF2"/>
            <w:tcMar>
              <w:left w:w="57" w:type="dxa"/>
              <w:right w:w="57" w:type="dxa"/>
            </w:tcMar>
            <w:vAlign w:val="center"/>
          </w:tcPr>
          <w:p w14:paraId="72A444B1"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418" w:type="dxa"/>
            <w:shd w:val="clear" w:color="auto" w:fill="C7EFF2"/>
            <w:tcMar>
              <w:left w:w="57" w:type="dxa"/>
              <w:right w:w="57" w:type="dxa"/>
            </w:tcMar>
            <w:vAlign w:val="center"/>
          </w:tcPr>
          <w:p w14:paraId="22EC236D" w14:textId="77777777" w:rsidR="00293140" w:rsidRPr="00BB1728" w:rsidRDefault="00293140" w:rsidP="00C44929">
            <w:pPr>
              <w:spacing w:after="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93140" w:rsidRPr="00A67F88" w14:paraId="1D4B329E" w14:textId="77777777" w:rsidTr="004E011A">
        <w:trPr>
          <w:trHeight w:val="918"/>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Mar>
              <w:left w:w="57" w:type="dxa"/>
              <w:right w:w="57" w:type="dxa"/>
            </w:tcMar>
            <w:vAlign w:val="center"/>
            <w:hideMark/>
          </w:tcPr>
          <w:p w14:paraId="270A32B5" w14:textId="77777777" w:rsidR="00293140" w:rsidRPr="00BB1728" w:rsidRDefault="00293140" w:rsidP="00C44929">
            <w:pPr>
              <w:spacing w:after="0"/>
              <w:rPr>
                <w:rFonts w:cs="Arial"/>
                <w:b w:val="0"/>
                <w:sz w:val="18"/>
                <w:szCs w:val="18"/>
              </w:rPr>
            </w:pPr>
            <w:r w:rsidRPr="00BB1728">
              <w:rPr>
                <w:rFonts w:cs="Arial"/>
                <w:b w:val="0"/>
                <w:sz w:val="18"/>
                <w:szCs w:val="18"/>
              </w:rPr>
              <w:t>Facilities</w:t>
            </w:r>
          </w:p>
        </w:tc>
        <w:tc>
          <w:tcPr>
            <w:tcW w:w="6382" w:type="dxa"/>
            <w:shd w:val="clear" w:color="auto" w:fill="auto"/>
            <w:tcMar>
              <w:left w:w="57" w:type="dxa"/>
              <w:right w:w="57" w:type="dxa"/>
            </w:tcMar>
            <w:vAlign w:val="center"/>
          </w:tcPr>
          <w:p w14:paraId="4D48138F" w14:textId="7826F70A" w:rsidR="00293140" w:rsidRPr="00BB1728" w:rsidRDefault="00293140" w:rsidP="00C44929">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 xml:space="preserve">Reduces the emissions intensity of a facility. Projects may include upgrading turbines or reducing industrial process emissions. The method determines a baseline emissions intensity against which project abatement is calculated. </w:t>
            </w:r>
            <w:r w:rsidR="00036DC9" w:rsidRPr="00BB1728">
              <w:rPr>
                <w:rFonts w:cs="Arial"/>
                <w:sz w:val="18"/>
                <w:szCs w:val="18"/>
              </w:rPr>
              <w:t>ACCUs</w:t>
            </w:r>
            <w:r w:rsidRPr="00BB1728">
              <w:rPr>
                <w:rFonts w:cs="Arial"/>
                <w:sz w:val="18"/>
                <w:szCs w:val="18"/>
              </w:rPr>
              <w:t xml:space="preserve"> are then </w:t>
            </w:r>
            <w:r w:rsidR="00036DC9" w:rsidRPr="00BB1728">
              <w:rPr>
                <w:rFonts w:cs="Arial"/>
                <w:sz w:val="18"/>
                <w:szCs w:val="18"/>
              </w:rPr>
              <w:t>issued</w:t>
            </w:r>
            <w:r w:rsidRPr="00BB1728">
              <w:rPr>
                <w:rFonts w:cs="Arial"/>
                <w:sz w:val="18"/>
                <w:szCs w:val="18"/>
              </w:rPr>
              <w:t xml:space="preserve"> to participating facilities that reduce their emissions intensity per unit of output below the baseline level.</w:t>
            </w:r>
          </w:p>
        </w:tc>
        <w:tc>
          <w:tcPr>
            <w:tcW w:w="1418" w:type="dxa"/>
            <w:shd w:val="clear" w:color="auto" w:fill="auto"/>
            <w:tcMar>
              <w:left w:w="57" w:type="dxa"/>
              <w:right w:w="57" w:type="dxa"/>
            </w:tcMar>
            <w:vAlign w:val="center"/>
          </w:tcPr>
          <w:p w14:paraId="61232B91" w14:textId="77777777" w:rsidR="00293140" w:rsidRPr="00BB1728" w:rsidRDefault="00293140" w:rsidP="00C44929">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B1728">
              <w:rPr>
                <w:rFonts w:cs="Arial"/>
                <w:sz w:val="18"/>
                <w:szCs w:val="18"/>
              </w:rPr>
              <w:t>0.0</w:t>
            </w:r>
          </w:p>
        </w:tc>
      </w:tr>
    </w:tbl>
    <w:p w14:paraId="4EA6657D" w14:textId="77777777" w:rsidR="00193A87" w:rsidRDefault="00193A87" w:rsidP="00D6496C">
      <w:pPr>
        <w:pStyle w:val="Footnote"/>
        <w:rPr>
          <w:b/>
          <w:lang w:eastAsia="en-AU"/>
        </w:rPr>
      </w:pPr>
    </w:p>
    <w:p w14:paraId="5B85858C" w14:textId="2FEE18C1" w:rsidR="00193A87" w:rsidRPr="00E55312" w:rsidRDefault="00193A87" w:rsidP="00AC7279">
      <w:pPr>
        <w:pStyle w:val="Footnote"/>
        <w:spacing w:after="0"/>
      </w:pPr>
      <w:r w:rsidRPr="00E55312">
        <w:rPr>
          <w:b/>
          <w:lang w:eastAsia="en-AU"/>
        </w:rPr>
        <w:t>Note:</w:t>
      </w:r>
      <w:r w:rsidRPr="00E55312">
        <w:rPr>
          <w:lang w:eastAsia="en-AU"/>
        </w:rPr>
        <w:t xml:space="preserve"> </w:t>
      </w:r>
      <w:r w:rsidR="00C7730C" w:rsidRPr="00C7730C">
        <w:rPr>
          <w:lang w:eastAsia="en-AU"/>
        </w:rPr>
        <w:t>Methods marked with an asterisk (*) transitioned from the CFI to the ERF on 1 July 2015.</w:t>
      </w:r>
      <w:r w:rsidR="00C7730C">
        <w:rPr>
          <w:lang w:eastAsia="en-AU"/>
        </w:rPr>
        <w:t xml:space="preserve"> </w:t>
      </w:r>
      <w:r w:rsidR="00C7730C" w:rsidRPr="00C7730C">
        <w:rPr>
          <w:lang w:eastAsia="en-AU"/>
        </w:rPr>
        <w:t>For vegetation and agriculture methods, there are broadly two approaches to measuring carbon abatement. These are either a direct-measurement approach or a modelled approach using the Full Carbon Accounting Model (FullCAM). The method description indicates which approach is used where it is appropriate to distinguish one method from another with similar activities.</w:t>
      </w:r>
      <w:r w:rsidR="002D3BFA">
        <w:rPr>
          <w:lang w:eastAsia="en-AU"/>
        </w:rPr>
        <w:t xml:space="preserve"> </w:t>
      </w:r>
      <w:r w:rsidRPr="007119CC">
        <w:t>Contracted</w:t>
      </w:r>
      <w:r w:rsidRPr="00E55312">
        <w:t xml:space="preserve"> </w:t>
      </w:r>
      <w:r w:rsidRPr="007119CC">
        <w:t>abatement</w:t>
      </w:r>
      <w:r w:rsidRPr="00E55312">
        <w:t xml:space="preserve"> </w:t>
      </w:r>
      <w:r w:rsidR="002D3BFA">
        <w:t xml:space="preserve">is as </w:t>
      </w:r>
      <w:r w:rsidRPr="00E55312">
        <w:t>at 16 November 2017.</w:t>
      </w:r>
    </w:p>
    <w:p w14:paraId="68E1A22D" w14:textId="32B0482C" w:rsidR="00D6496C" w:rsidRDefault="00293140" w:rsidP="00D6496C">
      <w:pPr>
        <w:pStyle w:val="Footnote"/>
        <w:rPr>
          <w:lang w:eastAsia="en-AU"/>
        </w:rPr>
      </w:pPr>
      <w:r w:rsidRPr="0038754B">
        <w:rPr>
          <w:b/>
          <w:lang w:eastAsia="en-AU"/>
        </w:rPr>
        <w:t>S</w:t>
      </w:r>
      <w:r w:rsidR="00D6496C" w:rsidRPr="0038754B">
        <w:rPr>
          <w:b/>
          <w:lang w:eastAsia="en-AU"/>
        </w:rPr>
        <w:t xml:space="preserve">ource: </w:t>
      </w:r>
      <w:r w:rsidR="00AD5389" w:rsidRPr="0038754B">
        <w:rPr>
          <w:lang w:eastAsia="en-AU"/>
        </w:rPr>
        <w:t>Climate Change Authority b</w:t>
      </w:r>
      <w:r w:rsidR="00D6496C" w:rsidRPr="0038754B">
        <w:rPr>
          <w:lang w:eastAsia="en-AU"/>
        </w:rPr>
        <w:t>ased on</w:t>
      </w:r>
      <w:r w:rsidR="00D6496C" w:rsidRPr="0038754B">
        <w:rPr>
          <w:b/>
          <w:lang w:eastAsia="en-AU"/>
        </w:rPr>
        <w:t xml:space="preserve"> </w:t>
      </w:r>
      <w:r w:rsidR="00D6496C" w:rsidRPr="0038754B">
        <w:rPr>
          <w:lang w:eastAsia="en-AU"/>
        </w:rPr>
        <w:t xml:space="preserve">CER </w:t>
      </w:r>
      <w:r w:rsidR="003B78DF">
        <w:rPr>
          <w:lang w:eastAsia="en-AU"/>
        </w:rPr>
        <w:t>2017k;</w:t>
      </w:r>
      <w:r w:rsidR="00D6496C" w:rsidRPr="0038754B">
        <w:rPr>
          <w:lang w:eastAsia="en-AU"/>
        </w:rPr>
        <w:t xml:space="preserve"> DoEE n.d.</w:t>
      </w:r>
      <w:r w:rsidR="003B78DF">
        <w:rPr>
          <w:lang w:eastAsia="en-AU"/>
        </w:rPr>
        <w:t>b</w:t>
      </w:r>
      <w:r w:rsidR="00D6496C" w:rsidRPr="0038754B">
        <w:rPr>
          <w:lang w:eastAsia="en-AU"/>
        </w:rPr>
        <w:t>.</w:t>
      </w:r>
    </w:p>
    <w:p w14:paraId="33177CD4" w14:textId="77777777" w:rsidR="00957622" w:rsidRPr="0038754B" w:rsidRDefault="00957622" w:rsidP="00D6496C">
      <w:pPr>
        <w:spacing w:after="140" w:line="320" w:lineRule="exact"/>
        <w:ind w:left="369" w:hanging="369"/>
      </w:pPr>
    </w:p>
    <w:p w14:paraId="1BA4C40E" w14:textId="77777777" w:rsidR="00957489" w:rsidRPr="005206CA" w:rsidRDefault="00957489" w:rsidP="00B15F99"/>
    <w:p w14:paraId="4FD5C5C4" w14:textId="163F7B77" w:rsidR="00957489" w:rsidRPr="005206CA" w:rsidRDefault="0017212D">
      <w:pPr>
        <w:spacing w:after="0" w:line="240" w:lineRule="auto"/>
      </w:pPr>
      <w:r>
        <w:br w:type="page"/>
      </w:r>
    </w:p>
    <w:p w14:paraId="0F34CBF2" w14:textId="77777777" w:rsidR="0017212D" w:rsidRPr="0038754B" w:rsidRDefault="0017212D" w:rsidP="0017212D">
      <w:pPr>
        <w:pStyle w:val="Heading1nonumber"/>
      </w:pPr>
      <w:bookmarkStart w:id="1846" w:name="_Toc497819535"/>
      <w:bookmarkStart w:id="1847" w:name="_Toc498691606"/>
      <w:bookmarkStart w:id="1848" w:name="_Toc499043785"/>
      <w:bookmarkStart w:id="1849" w:name="_Toc499051810"/>
      <w:bookmarkStart w:id="1850" w:name="_Toc500251163"/>
      <w:bookmarkStart w:id="1851" w:name="_Toc500251438"/>
      <w:bookmarkStart w:id="1852" w:name="_Toc500254035"/>
      <w:bookmarkStart w:id="1853" w:name="_Toc500254170"/>
      <w:bookmarkStart w:id="1854" w:name="_Toc500401542"/>
      <w:bookmarkStart w:id="1855" w:name="_Toc500491030"/>
      <w:bookmarkStart w:id="1856" w:name="_Toc500512967"/>
      <w:bookmarkStart w:id="1857" w:name="_Toc500514227"/>
      <w:bookmarkStart w:id="1858" w:name="_Toc500516279"/>
      <w:r w:rsidRPr="0038754B">
        <w:t>Appendix D: Comparing the cost of the E</w:t>
      </w:r>
      <w:r>
        <w:t xml:space="preserve">missions </w:t>
      </w:r>
      <w:r w:rsidRPr="0038754B">
        <w:t>R</w:t>
      </w:r>
      <w:r>
        <w:t xml:space="preserve">eduction </w:t>
      </w:r>
      <w:r w:rsidRPr="0038754B">
        <w:t>F</w:t>
      </w:r>
      <w:r>
        <w:t>und</w:t>
      </w:r>
      <w:r w:rsidRPr="0038754B">
        <w:t xml:space="preserve"> with other government programs</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18184D68" w14:textId="77777777" w:rsidR="003407A4" w:rsidRPr="00852599" w:rsidRDefault="003407A4" w:rsidP="003407A4">
      <w:r w:rsidRPr="00852599">
        <w:t>The Emissions Reduction Fund (ERF) is a unique and complex policy which makes any benchmarking or comparison exercise difficult. Some examples of how the ERF differs from many other programs that may be considered similar include:</w:t>
      </w:r>
    </w:p>
    <w:p w14:paraId="775E3B5C" w14:textId="77777777" w:rsidR="003407A4" w:rsidRPr="00852599" w:rsidRDefault="003407A4" w:rsidP="003407A4">
      <w:pPr>
        <w:pStyle w:val="ListBullet"/>
      </w:pPr>
      <w:r w:rsidRPr="00852599">
        <w:t xml:space="preserve">The ERF combines two different core sets of activities – crediting and purchasing. </w:t>
      </w:r>
    </w:p>
    <w:p w14:paraId="75183B8B" w14:textId="77777777" w:rsidR="003407A4" w:rsidRPr="00852599" w:rsidRDefault="003407A4" w:rsidP="003407A4">
      <w:pPr>
        <w:pStyle w:val="ListBullet"/>
      </w:pPr>
      <w:r w:rsidRPr="00852599">
        <w:t xml:space="preserve">The complexity of the registration, reporting and auditing requirements of the ERF is greater than many other programs. </w:t>
      </w:r>
    </w:p>
    <w:p w14:paraId="3DB13EE7" w14:textId="77777777" w:rsidR="003407A4" w:rsidRPr="00852599" w:rsidRDefault="003407A4" w:rsidP="003407A4">
      <w:pPr>
        <w:pStyle w:val="ListBullet"/>
      </w:pPr>
      <w:r w:rsidRPr="00852599">
        <w:t xml:space="preserve">The length of time over which each project is managed is much greater than other purchasing or grant programs. ERF compliance oversight can last for 100 years. </w:t>
      </w:r>
    </w:p>
    <w:p w14:paraId="53C7040D" w14:textId="77777777" w:rsidR="003407A4" w:rsidRPr="00852599" w:rsidRDefault="003407A4" w:rsidP="003407A4">
      <w:r w:rsidRPr="00852599">
        <w:t>In addition to the challenges of comparing policies, the availability of data to enable comparisons is limited. The following comparisons are intended to put the administrative costs of the ERF in the context of other government programs rather than being direct</w:t>
      </w:r>
      <w:r>
        <w:t xml:space="preserve"> analogues</w:t>
      </w:r>
      <w:r w:rsidRPr="00852599">
        <w:t>.</w:t>
      </w:r>
    </w:p>
    <w:p w14:paraId="14F3424A" w14:textId="77777777" w:rsidR="003407A4" w:rsidRPr="00852599" w:rsidRDefault="003407A4" w:rsidP="003407A4">
      <w:r w:rsidRPr="00852599">
        <w:rPr>
          <w:b/>
          <w:color w:val="159DCE"/>
        </w:rPr>
        <w:t>GRANT PROGRAMS</w:t>
      </w:r>
    </w:p>
    <w:p w14:paraId="5342C302" w14:textId="77777777" w:rsidR="003407A4" w:rsidRPr="00852599" w:rsidRDefault="003407A4" w:rsidP="003407A4">
      <w:r w:rsidRPr="00852599">
        <w:t xml:space="preserve">The Authority recognises that the ERF is not a grant program as contracts are awarded through competitive auctions and payment is only made on delivery. However, the ERF allocates public funds and provides payment to recipients. It therefore shares some common aspects with grant programs. </w:t>
      </w:r>
    </w:p>
    <w:p w14:paraId="4340116C" w14:textId="77777777" w:rsidR="003407A4" w:rsidRPr="00852599" w:rsidRDefault="003407A4" w:rsidP="003407A4">
      <w:r w:rsidRPr="00852599">
        <w:t>The Australian National Audit Office (ANAO) benchmarks the efficiency of grant programs using estimates of administration costs for each $1 of grant funding. The Australia Council manages a range of grant programs and the ANAO reviewed the Council’s grant programs in 2017. The administrative costs of the Australia Council were found to range from $0.01 to $0.51 per dollar of funding distributed. ANAO used other government grant programs to compare the efficiency of the Australia Council programs - these comparators cost between $0.01 and $0.11 per dollar of funding distributed (</w:t>
      </w:r>
      <w:r w:rsidRPr="00852599">
        <w:rPr>
          <w:rStyle w:val="In-textChar"/>
        </w:rPr>
        <w:t>ANAO 2017</w:t>
      </w:r>
      <w:r w:rsidRPr="00852599">
        <w:t>).</w:t>
      </w:r>
    </w:p>
    <w:p w14:paraId="0BE93314" w14:textId="5B6FFB01" w:rsidR="003407A4" w:rsidRPr="00852599" w:rsidRDefault="003407A4" w:rsidP="003407A4">
      <w:r w:rsidRPr="00852599">
        <w:t xml:space="preserve">A comparison can be made with the ERF by equating grant funding distributed to the </w:t>
      </w:r>
      <w:r>
        <w:t>payments</w:t>
      </w:r>
      <w:r w:rsidRPr="00852599">
        <w:t xml:space="preserve"> dispersed to contractors. Over the four years to 2017-18, the administrative costs of the ERF to the CER are estimated to be equivalent to around $0.</w:t>
      </w:r>
      <w:r>
        <w:t>14</w:t>
      </w:r>
      <w:r w:rsidRPr="00852599">
        <w:t xml:space="preserve"> per dollar dispersed (</w:t>
      </w:r>
      <w:r w:rsidRPr="00852599">
        <w:rPr>
          <w:rStyle w:val="SectionChapterChar"/>
        </w:rPr>
        <w:t xml:space="preserve">Section </w:t>
      </w:r>
      <w:r w:rsidR="00E6078F">
        <w:rPr>
          <w:rStyle w:val="SectionChapterChar"/>
        </w:rPr>
        <w:t>12.2.1</w:t>
      </w:r>
      <w:r w:rsidR="005430A9">
        <w:t>)</w:t>
      </w:r>
      <w:r w:rsidRPr="00852599">
        <w:t>. This is within the range of the costs observed for Australia Council grant programs but higher than the programs the ANAO used to benchmark the Australia Council’s administrative costs. The reviewed grant programs are significantly less administratively complex than the ERF, however.</w:t>
      </w:r>
    </w:p>
    <w:p w14:paraId="59087D2A" w14:textId="77777777" w:rsidR="003407A4" w:rsidRPr="00852599" w:rsidRDefault="003407A4" w:rsidP="00AC7279">
      <w:pPr>
        <w:spacing w:after="160" w:line="259" w:lineRule="auto"/>
      </w:pPr>
      <w:r w:rsidRPr="00852599">
        <w:rPr>
          <w:b/>
          <w:color w:val="159DCE"/>
        </w:rPr>
        <w:t>STATE ENERGY EFFICIENCY PROGRAMS</w:t>
      </w:r>
    </w:p>
    <w:p w14:paraId="35B699DD" w14:textId="77777777" w:rsidR="003407A4" w:rsidRPr="00852599" w:rsidRDefault="003407A4" w:rsidP="003407A4">
      <w:r w:rsidRPr="00852599">
        <w:t>Energy efficiency programs run by state governments (such as the Victorian Energy Efficiency Target – VEET, and NSW’s Energy Saving Scheme – ESS), encourage emissions reductions by accrediting energy efficiency activities. Under the programs, accredited businesses are issued certificates representing the energy and emissions avoided through their activities. In some ways, these schemes are similar to the ERF. However, most activities are deemed upfront and do not need the ongoing oversight that the ERF requires.</w:t>
      </w:r>
    </w:p>
    <w:p w14:paraId="39397273" w14:textId="77777777" w:rsidR="003407A4" w:rsidRPr="00852599" w:rsidRDefault="003407A4" w:rsidP="003407A4">
      <w:r w:rsidRPr="00852599">
        <w:t>In analysis conducted in 2012, these schemes were found to have ongoing costs averaging $2.62 per t CO</w:t>
      </w:r>
      <w:r w:rsidRPr="00852599">
        <w:rPr>
          <w:vertAlign w:val="subscript"/>
        </w:rPr>
        <w:t>2</w:t>
      </w:r>
      <w:r w:rsidRPr="00852599">
        <w:t>-e in 2011, or $2.95 in 2016-17 dollars (</w:t>
      </w:r>
      <w:r w:rsidRPr="00852599">
        <w:rPr>
          <w:rStyle w:val="In-textChar"/>
        </w:rPr>
        <w:t>DCCEE 2012, adjusted for inflation by the Authority</w:t>
      </w:r>
      <w:r w:rsidRPr="00852599">
        <w:t xml:space="preserve">). </w:t>
      </w:r>
    </w:p>
    <w:p w14:paraId="1C703277" w14:textId="2F721458" w:rsidR="00957489" w:rsidRPr="005206CA" w:rsidRDefault="003407A4" w:rsidP="00B15F99">
      <w:r w:rsidRPr="00852599">
        <w:t>Based on the administrative costs over four years (2014</w:t>
      </w:r>
      <w:r w:rsidRPr="00852599">
        <w:noBreakHyphen/>
        <w:t>15 to 2017</w:t>
      </w:r>
      <w:r w:rsidRPr="00852599">
        <w:noBreakHyphen/>
        <w:t>18) and the number of ACCUs expected to be delivered over that period, the administrative costs per ACCU delivered are estimated to be around $</w:t>
      </w:r>
      <w:r>
        <w:t>1.66</w:t>
      </w:r>
      <w:r w:rsidRPr="00852599">
        <w:t xml:space="preserve">. The estimated cost of the state run energy efficiency scheme is therefore </w:t>
      </w:r>
      <w:r w:rsidR="005D7CF0">
        <w:t xml:space="preserve">50 per cent </w:t>
      </w:r>
      <w:r w:rsidRPr="00852599">
        <w:t>higher than the estimated nominal cost of the ERF. It should be noted that the estimated costs of the energy efficiency schemes were based on a single year – 2011</w:t>
      </w:r>
      <w:r>
        <w:t xml:space="preserve">, and the cost was </w:t>
      </w:r>
      <w:r w:rsidRPr="00852599">
        <w:t>expected to fall as the schemes matured.</w:t>
      </w:r>
    </w:p>
    <w:p w14:paraId="15A6889E" w14:textId="77777777" w:rsidR="00957489" w:rsidRPr="005206CA" w:rsidRDefault="00957489" w:rsidP="00B15F99"/>
    <w:p w14:paraId="070E52EF" w14:textId="78CAD237" w:rsidR="00024D18" w:rsidRPr="005206CA" w:rsidRDefault="00B15F99" w:rsidP="00B15F99">
      <w:pPr>
        <w:sectPr w:rsidR="00024D18" w:rsidRPr="005206CA" w:rsidSect="003D7714">
          <w:headerReference w:type="even" r:id="rId36"/>
          <w:type w:val="continuous"/>
          <w:pgSz w:w="11906" w:h="16838"/>
          <w:pgMar w:top="1418" w:right="1276" w:bottom="567" w:left="1418" w:header="425" w:footer="425" w:gutter="0"/>
          <w:cols w:space="708"/>
          <w:titlePg/>
          <w:docGrid w:linePitch="360"/>
        </w:sectPr>
      </w:pPr>
      <w:r w:rsidRPr="005206CA">
        <w:t xml:space="preserve"> </w:t>
      </w:r>
    </w:p>
    <w:p w14:paraId="4B9052CC" w14:textId="62682341" w:rsidR="00024D18" w:rsidRPr="005206CA" w:rsidRDefault="00024D18" w:rsidP="00D25BE9">
      <w:pPr>
        <w:pStyle w:val="Heading1nonumber"/>
      </w:pPr>
      <w:bookmarkStart w:id="1859" w:name="_Toc497819536"/>
      <w:bookmarkStart w:id="1860" w:name="_Toc498691607"/>
      <w:bookmarkStart w:id="1861" w:name="_Toc499043789"/>
      <w:bookmarkStart w:id="1862" w:name="_Toc499051814"/>
      <w:bookmarkStart w:id="1863" w:name="_Toc500251166"/>
      <w:bookmarkStart w:id="1864" w:name="_Toc500251441"/>
      <w:bookmarkStart w:id="1865" w:name="_Toc500254038"/>
      <w:bookmarkStart w:id="1866" w:name="_Toc500401543"/>
      <w:bookmarkStart w:id="1867" w:name="_Toc500491031"/>
      <w:bookmarkStart w:id="1868" w:name="_Toc500512968"/>
      <w:bookmarkStart w:id="1869" w:name="_Toc500514228"/>
      <w:bookmarkStart w:id="1870" w:name="_Toc500516280"/>
      <w:r w:rsidRPr="005206CA">
        <w:t xml:space="preserve">Appendix </w:t>
      </w:r>
      <w:r w:rsidR="0017212D">
        <w:t>E</w:t>
      </w:r>
      <w:r w:rsidR="002D3E7B" w:rsidRPr="005206CA">
        <w:t>: Overview of the costs and benefits of the authority’s recommendations</w:t>
      </w:r>
      <w:bookmarkEnd w:id="1859"/>
      <w:bookmarkEnd w:id="1860"/>
      <w:bookmarkEnd w:id="1861"/>
      <w:bookmarkEnd w:id="1862"/>
      <w:bookmarkEnd w:id="1863"/>
      <w:bookmarkEnd w:id="1864"/>
      <w:bookmarkEnd w:id="1865"/>
      <w:bookmarkEnd w:id="1866"/>
      <w:bookmarkEnd w:id="1867"/>
      <w:bookmarkEnd w:id="1868"/>
      <w:bookmarkEnd w:id="1869"/>
      <w:bookmarkEnd w:id="1870"/>
    </w:p>
    <w:p w14:paraId="7AC529E2" w14:textId="468347D0" w:rsidR="00024D18" w:rsidRPr="005206CA" w:rsidRDefault="00024D18" w:rsidP="00024D18">
      <w:r w:rsidRPr="005206CA">
        <w:t xml:space="preserve">The </w:t>
      </w:r>
      <w:r w:rsidRPr="005206CA">
        <w:rPr>
          <w:i/>
        </w:rPr>
        <w:t>C</w:t>
      </w:r>
      <w:r w:rsidR="00024CAC" w:rsidRPr="005206CA">
        <w:rPr>
          <w:i/>
        </w:rPr>
        <w:t xml:space="preserve">arbon Credits (Carbon Farming Initiative) </w:t>
      </w:r>
      <w:r w:rsidRPr="005206CA">
        <w:rPr>
          <w:i/>
        </w:rPr>
        <w:t>Act</w:t>
      </w:r>
      <w:r w:rsidR="00024CAC" w:rsidRPr="005206CA">
        <w:rPr>
          <w:i/>
        </w:rPr>
        <w:t xml:space="preserve"> 2011</w:t>
      </w:r>
      <w:r w:rsidR="00024CAC" w:rsidRPr="005206CA">
        <w:t xml:space="preserve"> (Cth)</w:t>
      </w:r>
      <w:r w:rsidRPr="005206CA">
        <w:t xml:space="preserve"> requires the Authority to analyse the costs and benefits of any recommendations formulated during </w:t>
      </w:r>
      <w:r w:rsidR="00BF15C8">
        <w:t>this</w:t>
      </w:r>
      <w:r w:rsidRPr="005206CA">
        <w:t xml:space="preserve"> review. The Authority is also required to have regard to the principles set out in the </w:t>
      </w:r>
      <w:r w:rsidRPr="005206CA">
        <w:rPr>
          <w:i/>
        </w:rPr>
        <w:t>Climate Change Authority Act 2011</w:t>
      </w:r>
      <w:r w:rsidRPr="005206CA">
        <w:t xml:space="preserve"> </w:t>
      </w:r>
      <w:r w:rsidR="00024CAC" w:rsidRPr="005206CA">
        <w:t xml:space="preserve">(Cth) </w:t>
      </w:r>
      <w:r w:rsidRPr="005206CA">
        <w:t xml:space="preserve">(see </w:t>
      </w:r>
      <w:r w:rsidR="00F07325" w:rsidRPr="005206CA">
        <w:t>Appendix</w:t>
      </w:r>
      <w:r w:rsidRPr="005206CA">
        <w:t xml:space="preserve"> A) when performing its functions. </w:t>
      </w:r>
      <w:r w:rsidR="00047177" w:rsidRPr="005206CA">
        <w:fldChar w:fldCharType="begin"/>
      </w:r>
      <w:r w:rsidR="00047177" w:rsidRPr="005206CA">
        <w:instrText xml:space="preserve"> REF _Ref497469908 \h </w:instrText>
      </w:r>
      <w:r w:rsidR="0002132E" w:rsidRPr="005206CA">
        <w:instrText xml:space="preserve"> \* MERGEFORMAT </w:instrText>
      </w:r>
      <w:r w:rsidR="00047177" w:rsidRPr="005206CA">
        <w:fldChar w:fldCharType="separate"/>
      </w:r>
      <w:r w:rsidR="00FA2002" w:rsidRPr="005206CA">
        <w:t xml:space="preserve">Table </w:t>
      </w:r>
      <w:r w:rsidR="00FA2002">
        <w:rPr>
          <w:noProof/>
        </w:rPr>
        <w:t>12</w:t>
      </w:r>
      <w:r w:rsidR="00047177" w:rsidRPr="005206CA">
        <w:fldChar w:fldCharType="end"/>
      </w:r>
      <w:r w:rsidRPr="005206CA">
        <w:t xml:space="preserve"> presents a summary of the recommendations’ outcomes against these criteria. Further analyses of the costs and benefits of the recommendations are made throughout the report. </w:t>
      </w:r>
    </w:p>
    <w:p w14:paraId="78E4B1C4" w14:textId="576EB3C5" w:rsidR="00024D18" w:rsidRPr="005206CA" w:rsidRDefault="00024D18" w:rsidP="00024D18">
      <w:pPr>
        <w:pStyle w:val="CCAFigure"/>
      </w:pPr>
      <w:bookmarkStart w:id="1871" w:name="_Ref497469908"/>
      <w:bookmarkStart w:id="1872" w:name="_Toc497819441"/>
      <w:bookmarkStart w:id="1873" w:name="_Toc498691502"/>
      <w:bookmarkStart w:id="1874" w:name="_Toc499051702"/>
      <w:bookmarkStart w:id="1875" w:name="_Toc500251051"/>
      <w:bookmarkStart w:id="1876" w:name="_Toc500251326"/>
      <w:bookmarkStart w:id="1877" w:name="_Toc500253923"/>
      <w:bookmarkStart w:id="1878" w:name="_Toc500400126"/>
      <w:bookmarkStart w:id="1879" w:name="_Toc500490914"/>
      <w:bookmarkStart w:id="1880" w:name="_Toc500513630"/>
      <w:bookmarkStart w:id="1881" w:name="_Toc500516168"/>
      <w:r w:rsidRPr="005206CA">
        <w:t xml:space="preserve">Table </w:t>
      </w:r>
      <w:r w:rsidR="00FA2002">
        <w:fldChar w:fldCharType="begin"/>
      </w:r>
      <w:r w:rsidR="00FA2002">
        <w:instrText xml:space="preserve"> SEQ Table \* ARABIC </w:instrText>
      </w:r>
      <w:r w:rsidR="00FA2002">
        <w:fldChar w:fldCharType="separate"/>
      </w:r>
      <w:r w:rsidR="00FA2002">
        <w:rPr>
          <w:noProof/>
        </w:rPr>
        <w:t>12</w:t>
      </w:r>
      <w:r w:rsidR="00FA2002">
        <w:rPr>
          <w:noProof/>
        </w:rPr>
        <w:fldChar w:fldCharType="end"/>
      </w:r>
      <w:bookmarkEnd w:id="1871"/>
      <w:r w:rsidR="006F4344" w:rsidRPr="005206CA">
        <w:rPr>
          <w:noProof/>
        </w:rPr>
        <w:t>:</w:t>
      </w:r>
      <w:r w:rsidRPr="005206CA">
        <w:t xml:space="preserve"> Analysing the recommendations</w:t>
      </w:r>
      <w:r w:rsidR="008C625A">
        <w:t>’</w:t>
      </w:r>
      <w:r w:rsidRPr="005206CA">
        <w:t xml:space="preserve"> outcomes</w:t>
      </w:r>
      <w:bookmarkEnd w:id="1872"/>
      <w:bookmarkEnd w:id="1873"/>
      <w:bookmarkEnd w:id="1874"/>
      <w:bookmarkEnd w:id="1875"/>
      <w:bookmarkEnd w:id="1876"/>
      <w:bookmarkEnd w:id="1877"/>
      <w:bookmarkEnd w:id="1878"/>
      <w:bookmarkEnd w:id="1879"/>
      <w:bookmarkEnd w:id="1880"/>
      <w:bookmarkEnd w:id="1881"/>
    </w:p>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9C33DE" w:rsidRPr="005206CA" w14:paraId="2FC10F3B" w14:textId="77777777" w:rsidTr="0033387E">
        <w:trPr>
          <w:cnfStyle w:val="100000000000" w:firstRow="1" w:lastRow="0" w:firstColumn="0" w:lastColumn="0" w:oddVBand="0" w:evenVBand="0" w:oddHBand="0" w:evenHBand="0" w:firstRowFirstColumn="0" w:firstRowLastColumn="0" w:lastRowFirstColumn="0" w:lastRowLastColumn="0"/>
          <w:trHeight w:val="57"/>
          <w:tblHeader/>
        </w:trPr>
        <w:tc>
          <w:tcPr>
            <w:tcW w:w="805" w:type="dxa"/>
            <w:vMerge w:val="restart"/>
            <w:shd w:val="clear" w:color="auto" w:fill="159DCE"/>
          </w:tcPr>
          <w:p w14:paraId="7884B758" w14:textId="77777777" w:rsidR="00024D18" w:rsidRPr="00AC7279" w:rsidRDefault="00024D18" w:rsidP="00AC7279">
            <w:pPr>
              <w:spacing w:after="0"/>
              <w:rPr>
                <w:b/>
                <w:color w:val="FFFFFF" w:themeColor="background1"/>
                <w:sz w:val="16"/>
                <w:szCs w:val="16"/>
              </w:rPr>
            </w:pPr>
          </w:p>
        </w:tc>
        <w:tc>
          <w:tcPr>
            <w:tcW w:w="2724" w:type="dxa"/>
            <w:vMerge w:val="restart"/>
            <w:shd w:val="clear" w:color="auto" w:fill="159DCE"/>
            <w:vAlign w:val="center"/>
          </w:tcPr>
          <w:p w14:paraId="167A90A6" w14:textId="77777777" w:rsidR="00024D18" w:rsidRPr="00AC7279" w:rsidRDefault="00024D18" w:rsidP="00AC7279">
            <w:pPr>
              <w:spacing w:after="0"/>
              <w:rPr>
                <w:b/>
                <w:color w:val="FFFFFF" w:themeColor="background1"/>
                <w:sz w:val="16"/>
                <w:szCs w:val="16"/>
              </w:rPr>
            </w:pPr>
            <w:r w:rsidRPr="00AC7279">
              <w:rPr>
                <w:b/>
                <w:color w:val="FFFFFF" w:themeColor="background1"/>
                <w:sz w:val="16"/>
                <w:szCs w:val="16"/>
              </w:rPr>
              <w:t>RECOMMENDATION</w:t>
            </w:r>
          </w:p>
        </w:tc>
        <w:tc>
          <w:tcPr>
            <w:tcW w:w="4941" w:type="dxa"/>
            <w:gridSpan w:val="3"/>
            <w:shd w:val="clear" w:color="auto" w:fill="159DCE"/>
            <w:vAlign w:val="center"/>
          </w:tcPr>
          <w:p w14:paraId="770BF682" w14:textId="77777777" w:rsidR="00024D18" w:rsidRPr="00AC7279" w:rsidRDefault="00024D18" w:rsidP="009C33DE">
            <w:pPr>
              <w:spacing w:after="0"/>
              <w:rPr>
                <w:b/>
                <w:color w:val="FFFFFF" w:themeColor="background1"/>
                <w:sz w:val="16"/>
                <w:szCs w:val="16"/>
              </w:rPr>
            </w:pPr>
            <w:r w:rsidRPr="00AC7279">
              <w:rPr>
                <w:b/>
                <w:color w:val="FFFFFF" w:themeColor="background1"/>
                <w:sz w:val="16"/>
                <w:szCs w:val="16"/>
              </w:rPr>
              <w:t>ECONOMIC EFFICIENCY</w:t>
            </w:r>
          </w:p>
        </w:tc>
        <w:tc>
          <w:tcPr>
            <w:tcW w:w="2400" w:type="dxa"/>
            <w:vMerge w:val="restart"/>
            <w:shd w:val="clear" w:color="auto" w:fill="159DCE"/>
            <w:vAlign w:val="center"/>
          </w:tcPr>
          <w:p w14:paraId="20FCE100" w14:textId="77777777" w:rsidR="00024D18" w:rsidRPr="00AC7279" w:rsidRDefault="00024D18" w:rsidP="00AC7279">
            <w:pPr>
              <w:spacing w:after="0"/>
              <w:rPr>
                <w:b/>
                <w:color w:val="FFFFFF" w:themeColor="background1"/>
                <w:sz w:val="16"/>
                <w:szCs w:val="16"/>
              </w:rPr>
            </w:pPr>
            <w:r w:rsidRPr="00AC7279">
              <w:rPr>
                <w:b/>
                <w:color w:val="FFFFFF" w:themeColor="background1"/>
                <w:sz w:val="16"/>
                <w:szCs w:val="16"/>
              </w:rPr>
              <w:t>ENVIRONMENTAL EFFECTIVENESS</w:t>
            </w:r>
          </w:p>
        </w:tc>
        <w:tc>
          <w:tcPr>
            <w:tcW w:w="2117" w:type="dxa"/>
            <w:vMerge w:val="restart"/>
            <w:shd w:val="clear" w:color="auto" w:fill="159DCE"/>
            <w:vAlign w:val="center"/>
          </w:tcPr>
          <w:p w14:paraId="20507593" w14:textId="77777777" w:rsidR="00024D18" w:rsidRPr="00AC7279" w:rsidRDefault="00024D18" w:rsidP="00AC7279">
            <w:pPr>
              <w:spacing w:after="0"/>
              <w:rPr>
                <w:b/>
                <w:color w:val="FFFFFF" w:themeColor="background1"/>
                <w:sz w:val="16"/>
                <w:szCs w:val="16"/>
              </w:rPr>
            </w:pPr>
            <w:r w:rsidRPr="00AC7279">
              <w:rPr>
                <w:b/>
                <w:color w:val="FFFFFF" w:themeColor="background1"/>
                <w:sz w:val="16"/>
                <w:szCs w:val="16"/>
              </w:rPr>
              <w:t>EQUITY</w:t>
            </w:r>
          </w:p>
        </w:tc>
        <w:tc>
          <w:tcPr>
            <w:tcW w:w="2120" w:type="dxa"/>
            <w:vMerge w:val="restart"/>
            <w:shd w:val="clear" w:color="auto" w:fill="159DCE"/>
            <w:vAlign w:val="center"/>
          </w:tcPr>
          <w:p w14:paraId="49BB4133" w14:textId="77777777" w:rsidR="00024D18" w:rsidRPr="00AC7279" w:rsidRDefault="00024D18" w:rsidP="00AC7279">
            <w:pPr>
              <w:spacing w:after="0"/>
              <w:rPr>
                <w:b/>
                <w:color w:val="FFFFFF" w:themeColor="background1"/>
                <w:sz w:val="16"/>
                <w:szCs w:val="16"/>
              </w:rPr>
            </w:pPr>
            <w:r w:rsidRPr="00AC7279">
              <w:rPr>
                <w:b/>
                <w:color w:val="FFFFFF" w:themeColor="background1"/>
                <w:sz w:val="16"/>
                <w:szCs w:val="16"/>
              </w:rPr>
              <w:t>IMPLEMENTATION PROCESS</w:t>
            </w:r>
          </w:p>
        </w:tc>
      </w:tr>
      <w:tr w:rsidR="009C33DE" w:rsidRPr="005206CA" w14:paraId="11210E81" w14:textId="77777777" w:rsidTr="0033387E">
        <w:trPr>
          <w:cnfStyle w:val="100000000000" w:firstRow="1" w:lastRow="0" w:firstColumn="0" w:lastColumn="0" w:oddVBand="0" w:evenVBand="0" w:oddHBand="0" w:evenHBand="0" w:firstRowFirstColumn="0" w:firstRowLastColumn="0" w:lastRowFirstColumn="0" w:lastRowLastColumn="0"/>
          <w:trHeight w:val="113"/>
          <w:tblHeader/>
        </w:trPr>
        <w:tc>
          <w:tcPr>
            <w:tcW w:w="805" w:type="dxa"/>
            <w:vMerge/>
          </w:tcPr>
          <w:p w14:paraId="1C720BC6" w14:textId="77777777" w:rsidR="00024D18" w:rsidRPr="00AC7279" w:rsidRDefault="00024D18" w:rsidP="009C33DE">
            <w:pPr>
              <w:rPr>
                <w:b/>
                <w:sz w:val="16"/>
                <w:szCs w:val="16"/>
              </w:rPr>
            </w:pPr>
          </w:p>
        </w:tc>
        <w:tc>
          <w:tcPr>
            <w:tcW w:w="2724" w:type="dxa"/>
            <w:vMerge/>
          </w:tcPr>
          <w:p w14:paraId="5E3A6D64" w14:textId="77777777" w:rsidR="00024D18" w:rsidRPr="00AC7279" w:rsidRDefault="00024D18" w:rsidP="009C33DE">
            <w:pPr>
              <w:rPr>
                <w:sz w:val="16"/>
                <w:szCs w:val="16"/>
              </w:rPr>
            </w:pPr>
          </w:p>
        </w:tc>
        <w:tc>
          <w:tcPr>
            <w:tcW w:w="2542" w:type="dxa"/>
            <w:gridSpan w:val="2"/>
            <w:shd w:val="clear" w:color="auto" w:fill="159DCE"/>
            <w:vAlign w:val="center"/>
          </w:tcPr>
          <w:p w14:paraId="02837398" w14:textId="77777777" w:rsidR="00024D18" w:rsidRPr="00AC7279" w:rsidRDefault="00024D18" w:rsidP="009C33DE">
            <w:pPr>
              <w:spacing w:after="0"/>
              <w:rPr>
                <w:b/>
                <w:color w:val="FFFFFF" w:themeColor="background1"/>
                <w:sz w:val="16"/>
                <w:szCs w:val="16"/>
              </w:rPr>
            </w:pPr>
            <w:r w:rsidRPr="00AC7279">
              <w:rPr>
                <w:b/>
                <w:color w:val="FFFFFF" w:themeColor="background1"/>
                <w:sz w:val="16"/>
                <w:szCs w:val="16"/>
              </w:rPr>
              <w:t>COSTS</w:t>
            </w:r>
          </w:p>
        </w:tc>
        <w:tc>
          <w:tcPr>
            <w:tcW w:w="2399" w:type="dxa"/>
            <w:shd w:val="clear" w:color="auto" w:fill="159DCE"/>
            <w:vAlign w:val="center"/>
          </w:tcPr>
          <w:p w14:paraId="07F62EAB" w14:textId="77777777" w:rsidR="00024D18" w:rsidRPr="00AC7279" w:rsidRDefault="00024D18" w:rsidP="009C33DE">
            <w:pPr>
              <w:spacing w:after="0"/>
              <w:rPr>
                <w:b/>
                <w:color w:val="FFFFFF" w:themeColor="background1"/>
                <w:sz w:val="16"/>
                <w:szCs w:val="16"/>
              </w:rPr>
            </w:pPr>
            <w:r w:rsidRPr="00AC7279">
              <w:rPr>
                <w:b/>
                <w:color w:val="FFFFFF" w:themeColor="background1"/>
                <w:sz w:val="16"/>
                <w:szCs w:val="16"/>
              </w:rPr>
              <w:t>BENEFITS</w:t>
            </w:r>
          </w:p>
        </w:tc>
        <w:tc>
          <w:tcPr>
            <w:tcW w:w="2400" w:type="dxa"/>
            <w:vMerge/>
          </w:tcPr>
          <w:p w14:paraId="0A68FC31" w14:textId="77777777" w:rsidR="00024D18" w:rsidRPr="00AC7279" w:rsidRDefault="00024D18" w:rsidP="009C33DE">
            <w:pPr>
              <w:rPr>
                <w:sz w:val="16"/>
                <w:szCs w:val="16"/>
              </w:rPr>
            </w:pPr>
          </w:p>
        </w:tc>
        <w:tc>
          <w:tcPr>
            <w:tcW w:w="2117" w:type="dxa"/>
            <w:vMerge/>
          </w:tcPr>
          <w:p w14:paraId="789F9265" w14:textId="77777777" w:rsidR="00024D18" w:rsidRPr="00AC7279" w:rsidRDefault="00024D18" w:rsidP="009C33DE">
            <w:pPr>
              <w:rPr>
                <w:sz w:val="16"/>
                <w:szCs w:val="16"/>
              </w:rPr>
            </w:pPr>
          </w:p>
        </w:tc>
        <w:tc>
          <w:tcPr>
            <w:tcW w:w="2120" w:type="dxa"/>
            <w:vMerge/>
          </w:tcPr>
          <w:p w14:paraId="1CC01CE4" w14:textId="77777777" w:rsidR="00024D18" w:rsidRPr="00AC7279" w:rsidRDefault="00024D18" w:rsidP="009C33DE">
            <w:pPr>
              <w:rPr>
                <w:sz w:val="16"/>
                <w:szCs w:val="16"/>
              </w:rPr>
            </w:pPr>
          </w:p>
        </w:tc>
      </w:tr>
      <w:tr w:rsidR="009C33DE" w:rsidRPr="005206CA" w14:paraId="7930E217"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7DC5AEA7" w14:textId="61C78D65" w:rsidR="00024D18" w:rsidRPr="00AC7279" w:rsidRDefault="00E557DB" w:rsidP="009C33DE">
            <w:pPr>
              <w:rPr>
                <w:b/>
                <w:sz w:val="16"/>
                <w:szCs w:val="16"/>
              </w:rPr>
            </w:pPr>
            <w:r w:rsidRPr="00AC7279">
              <w:rPr>
                <w:b/>
                <w:sz w:val="16"/>
                <w:szCs w:val="16"/>
              </w:rPr>
              <w:fldChar w:fldCharType="begin"/>
            </w:r>
            <w:r w:rsidRPr="00AC7279">
              <w:rPr>
                <w:b/>
                <w:sz w:val="16"/>
                <w:szCs w:val="16"/>
              </w:rPr>
              <w:instrText xml:space="preserve"> REF _Ref497827503 \h </w:instrText>
            </w:r>
            <w:r w:rsidR="009C33DE" w:rsidRPr="005206CA">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w:t>
            </w:r>
            <w:r w:rsidRPr="00AC7279">
              <w:rPr>
                <w:b/>
                <w:sz w:val="16"/>
                <w:szCs w:val="16"/>
              </w:rPr>
              <w:fldChar w:fldCharType="end"/>
            </w:r>
          </w:p>
        </w:tc>
        <w:tc>
          <w:tcPr>
            <w:tcW w:w="2724" w:type="dxa"/>
          </w:tcPr>
          <w:p w14:paraId="1EB0DE3B" w14:textId="4523E070" w:rsidR="00024D18" w:rsidRPr="00AC7279" w:rsidDel="00265566" w:rsidRDefault="00024D18" w:rsidP="009C33DE">
            <w:pPr>
              <w:rPr>
                <w:sz w:val="16"/>
                <w:szCs w:val="16"/>
              </w:rPr>
            </w:pPr>
            <w:r w:rsidRPr="00AC7279">
              <w:rPr>
                <w:sz w:val="16"/>
                <w:szCs w:val="16"/>
              </w:rPr>
              <w:t>Establish a formal submission process for new methods to be developed by the Department</w:t>
            </w:r>
            <w:r w:rsidR="00FA418F" w:rsidRPr="00AC7279">
              <w:rPr>
                <w:sz w:val="16"/>
                <w:szCs w:val="16"/>
              </w:rPr>
              <w:t xml:space="preserve"> and </w:t>
            </w:r>
            <w:r w:rsidR="00331166" w:rsidRPr="00AC7279">
              <w:rPr>
                <w:sz w:val="16"/>
                <w:szCs w:val="16"/>
              </w:rPr>
              <w:t xml:space="preserve">publish priorities for method development </w:t>
            </w:r>
            <w:r w:rsidR="00331166" w:rsidRPr="00AC7279" w:rsidDel="00265566">
              <w:rPr>
                <w:sz w:val="16"/>
                <w:szCs w:val="16"/>
              </w:rPr>
              <w:t>every two years</w:t>
            </w:r>
            <w:r w:rsidR="00331166" w:rsidRPr="00AC7279">
              <w:rPr>
                <w:sz w:val="16"/>
                <w:szCs w:val="16"/>
              </w:rPr>
              <w:t>.</w:t>
            </w:r>
          </w:p>
        </w:tc>
        <w:tc>
          <w:tcPr>
            <w:tcW w:w="2542" w:type="dxa"/>
            <w:gridSpan w:val="2"/>
          </w:tcPr>
          <w:p w14:paraId="024A30FD" w14:textId="5A0ED28E" w:rsidR="00024D18" w:rsidRPr="00AC7279" w:rsidDel="00C5017A" w:rsidRDefault="00024D18" w:rsidP="009C33DE">
            <w:pPr>
              <w:rPr>
                <w:sz w:val="16"/>
                <w:szCs w:val="16"/>
              </w:rPr>
            </w:pPr>
            <w:r w:rsidRPr="00AC7279">
              <w:rPr>
                <w:sz w:val="16"/>
                <w:szCs w:val="16"/>
              </w:rPr>
              <w:t>Increases administrative cost for</w:t>
            </w:r>
            <w:r w:rsidR="00024CAC" w:rsidRPr="00AC7279">
              <w:rPr>
                <w:sz w:val="16"/>
                <w:szCs w:val="16"/>
              </w:rPr>
              <w:t xml:space="preserve"> Department</w:t>
            </w:r>
            <w:r w:rsidRPr="00AC7279">
              <w:rPr>
                <w:sz w:val="16"/>
                <w:szCs w:val="16"/>
              </w:rPr>
              <w:t>.</w:t>
            </w:r>
          </w:p>
        </w:tc>
        <w:tc>
          <w:tcPr>
            <w:tcW w:w="2399" w:type="dxa"/>
          </w:tcPr>
          <w:p w14:paraId="73460C2F" w14:textId="77777777" w:rsidR="007C0998" w:rsidRPr="00AC7279" w:rsidDel="00C5017A" w:rsidRDefault="00024D18" w:rsidP="009C33DE">
            <w:pPr>
              <w:rPr>
                <w:sz w:val="16"/>
                <w:szCs w:val="16"/>
              </w:rPr>
            </w:pPr>
            <w:r w:rsidRPr="00AC7279">
              <w:rPr>
                <w:sz w:val="16"/>
                <w:szCs w:val="16"/>
              </w:rPr>
              <w:t>Could lead to lower cost abatement opportunities.</w:t>
            </w:r>
          </w:p>
          <w:p w14:paraId="614E62B5" w14:textId="77777777" w:rsidR="00024D18" w:rsidRPr="00AC7279" w:rsidDel="00C5017A" w:rsidRDefault="007C0998" w:rsidP="009C33DE">
            <w:pPr>
              <w:rPr>
                <w:sz w:val="16"/>
                <w:szCs w:val="16"/>
              </w:rPr>
            </w:pPr>
            <w:r w:rsidRPr="00AC7279">
              <w:rPr>
                <w:sz w:val="16"/>
                <w:szCs w:val="16"/>
              </w:rPr>
              <w:t>Increases private sector understanding and certainty.</w:t>
            </w:r>
          </w:p>
        </w:tc>
        <w:tc>
          <w:tcPr>
            <w:tcW w:w="2400" w:type="dxa"/>
          </w:tcPr>
          <w:p w14:paraId="172D9F6F" w14:textId="77777777" w:rsidR="00024D18" w:rsidRPr="00AC7279" w:rsidDel="00C5017A" w:rsidRDefault="00024D18" w:rsidP="009C33DE">
            <w:pPr>
              <w:rPr>
                <w:sz w:val="16"/>
                <w:szCs w:val="16"/>
              </w:rPr>
            </w:pPr>
            <w:r w:rsidRPr="00AC7279">
              <w:rPr>
                <w:sz w:val="16"/>
                <w:szCs w:val="16"/>
              </w:rPr>
              <w:t>May increase abatement opportunities through new methods.</w:t>
            </w:r>
          </w:p>
        </w:tc>
        <w:tc>
          <w:tcPr>
            <w:tcW w:w="2117" w:type="dxa"/>
          </w:tcPr>
          <w:p w14:paraId="4C4A2B75" w14:textId="77777777" w:rsidR="00024D18" w:rsidRPr="00AC7279" w:rsidRDefault="00024D18" w:rsidP="009C33DE">
            <w:pPr>
              <w:ind w:right="14"/>
              <w:rPr>
                <w:sz w:val="16"/>
                <w:szCs w:val="16"/>
              </w:rPr>
            </w:pPr>
            <w:r w:rsidRPr="00AC7279">
              <w:rPr>
                <w:sz w:val="16"/>
                <w:szCs w:val="16"/>
              </w:rPr>
              <w:t xml:space="preserve">Increases </w:t>
            </w:r>
            <w:r w:rsidR="007C0998" w:rsidRPr="00AC7279">
              <w:rPr>
                <w:sz w:val="16"/>
                <w:szCs w:val="16"/>
              </w:rPr>
              <w:t xml:space="preserve">transparency, </w:t>
            </w:r>
            <w:r w:rsidRPr="00AC7279">
              <w:rPr>
                <w:sz w:val="16"/>
                <w:szCs w:val="16"/>
              </w:rPr>
              <w:t>stakeholder engagement and participation.</w:t>
            </w:r>
          </w:p>
        </w:tc>
        <w:tc>
          <w:tcPr>
            <w:tcW w:w="2120" w:type="dxa"/>
          </w:tcPr>
          <w:p w14:paraId="547201F1" w14:textId="05B088F3" w:rsidR="007C0998" w:rsidRPr="00AC7279" w:rsidRDefault="007C0998" w:rsidP="009C33DE">
            <w:pPr>
              <w:rPr>
                <w:sz w:val="16"/>
                <w:szCs w:val="16"/>
              </w:rPr>
            </w:pPr>
            <w:r w:rsidRPr="00AC7279">
              <w:rPr>
                <w:sz w:val="16"/>
                <w:szCs w:val="16"/>
              </w:rPr>
              <w:t>Minister/D</w:t>
            </w:r>
            <w:r w:rsidR="00024CAC" w:rsidRPr="00AC7279">
              <w:rPr>
                <w:sz w:val="16"/>
                <w:szCs w:val="16"/>
              </w:rPr>
              <w:t>epartment</w:t>
            </w:r>
          </w:p>
          <w:p w14:paraId="34C15D9B" w14:textId="77777777" w:rsidR="00024D18" w:rsidRPr="00AC7279" w:rsidRDefault="00024D18" w:rsidP="009C33DE">
            <w:pPr>
              <w:rPr>
                <w:sz w:val="16"/>
                <w:szCs w:val="16"/>
              </w:rPr>
            </w:pPr>
          </w:p>
        </w:tc>
      </w:tr>
      <w:tr w:rsidR="009C33DE" w:rsidRPr="005206CA" w14:paraId="248727FB"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635E83F0" w14:textId="2CDC56EE"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_Ref497827508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w:t>
            </w:r>
            <w:r w:rsidRPr="00AC7279">
              <w:rPr>
                <w:b/>
                <w:sz w:val="16"/>
                <w:szCs w:val="16"/>
              </w:rPr>
              <w:fldChar w:fldCharType="end"/>
            </w:r>
          </w:p>
        </w:tc>
        <w:tc>
          <w:tcPr>
            <w:tcW w:w="2724" w:type="dxa"/>
          </w:tcPr>
          <w:p w14:paraId="3BF88A7E" w14:textId="77777777" w:rsidR="00024D18" w:rsidRPr="00AC7279" w:rsidDel="00265566" w:rsidRDefault="00024D18" w:rsidP="009C33DE">
            <w:pPr>
              <w:rPr>
                <w:sz w:val="16"/>
                <w:szCs w:val="16"/>
              </w:rPr>
            </w:pPr>
            <w:r w:rsidRPr="00AC7279">
              <w:rPr>
                <w:rFonts w:eastAsia="Times New Roman"/>
                <w:sz w:val="16"/>
                <w:szCs w:val="16"/>
              </w:rPr>
              <w:t>Develop guidance to clarify how the ERAC will interpret the ERF offsets integrity standards.</w:t>
            </w:r>
          </w:p>
        </w:tc>
        <w:tc>
          <w:tcPr>
            <w:tcW w:w="2542" w:type="dxa"/>
            <w:gridSpan w:val="2"/>
          </w:tcPr>
          <w:p w14:paraId="48E5EABA" w14:textId="60829350" w:rsidR="00024D18" w:rsidRPr="00AC7279" w:rsidDel="00C5017A" w:rsidRDefault="00024D18" w:rsidP="009C33DE">
            <w:pPr>
              <w:rPr>
                <w:sz w:val="16"/>
                <w:szCs w:val="16"/>
              </w:rPr>
            </w:pPr>
            <w:r w:rsidRPr="00AC7279">
              <w:rPr>
                <w:sz w:val="16"/>
                <w:szCs w:val="16"/>
              </w:rPr>
              <w:t xml:space="preserve">Imposes an additional administrative cost for </w:t>
            </w:r>
            <w:r w:rsidR="00F37384" w:rsidRPr="00AC7279">
              <w:rPr>
                <w:sz w:val="16"/>
                <w:szCs w:val="16"/>
              </w:rPr>
              <w:t xml:space="preserve">the </w:t>
            </w:r>
            <w:r w:rsidRPr="00AC7279">
              <w:rPr>
                <w:sz w:val="16"/>
                <w:szCs w:val="16"/>
              </w:rPr>
              <w:t xml:space="preserve">ERAC and </w:t>
            </w:r>
            <w:r w:rsidR="00024CAC" w:rsidRPr="00AC7279">
              <w:rPr>
                <w:sz w:val="16"/>
                <w:szCs w:val="16"/>
              </w:rPr>
              <w:t xml:space="preserve">Department </w:t>
            </w:r>
            <w:r w:rsidRPr="00AC7279">
              <w:rPr>
                <w:sz w:val="16"/>
                <w:szCs w:val="16"/>
              </w:rPr>
              <w:t>in the short term.</w:t>
            </w:r>
          </w:p>
        </w:tc>
        <w:tc>
          <w:tcPr>
            <w:tcW w:w="2399" w:type="dxa"/>
          </w:tcPr>
          <w:p w14:paraId="376AAB13" w14:textId="65A334DC" w:rsidR="00024D18" w:rsidRPr="00AC7279" w:rsidDel="00C5017A" w:rsidRDefault="00024D18" w:rsidP="009C33DE">
            <w:pPr>
              <w:rPr>
                <w:sz w:val="16"/>
                <w:szCs w:val="16"/>
              </w:rPr>
            </w:pPr>
            <w:r w:rsidRPr="00AC7279">
              <w:rPr>
                <w:sz w:val="16"/>
                <w:szCs w:val="16"/>
              </w:rPr>
              <w:t>Enhance</w:t>
            </w:r>
            <w:r w:rsidR="009D289B" w:rsidRPr="00AC7279">
              <w:rPr>
                <w:sz w:val="16"/>
                <w:szCs w:val="16"/>
              </w:rPr>
              <w:t>s</w:t>
            </w:r>
            <w:r w:rsidRPr="00AC7279">
              <w:rPr>
                <w:sz w:val="16"/>
                <w:szCs w:val="16"/>
              </w:rPr>
              <w:t xml:space="preserve"> transparency and consistency of </w:t>
            </w:r>
            <w:r w:rsidR="00F37384" w:rsidRPr="00AC7279">
              <w:rPr>
                <w:sz w:val="16"/>
                <w:szCs w:val="16"/>
              </w:rPr>
              <w:t xml:space="preserve">the </w:t>
            </w:r>
            <w:r w:rsidRPr="00AC7279">
              <w:rPr>
                <w:sz w:val="16"/>
                <w:szCs w:val="16"/>
              </w:rPr>
              <w:t>ERAC</w:t>
            </w:r>
            <w:r w:rsidR="009D289B" w:rsidRPr="00AC7279">
              <w:rPr>
                <w:sz w:val="16"/>
                <w:szCs w:val="16"/>
              </w:rPr>
              <w:t>’s</w:t>
            </w:r>
            <w:r w:rsidRPr="00AC7279">
              <w:rPr>
                <w:sz w:val="16"/>
                <w:szCs w:val="16"/>
              </w:rPr>
              <w:t xml:space="preserve"> decision making.</w:t>
            </w:r>
          </w:p>
        </w:tc>
        <w:tc>
          <w:tcPr>
            <w:tcW w:w="2400" w:type="dxa"/>
          </w:tcPr>
          <w:p w14:paraId="1231D903" w14:textId="74F6DDDA" w:rsidR="00024D18" w:rsidRPr="00AC7279" w:rsidDel="00C5017A" w:rsidRDefault="00024D18" w:rsidP="009C33DE">
            <w:pPr>
              <w:rPr>
                <w:sz w:val="16"/>
                <w:szCs w:val="16"/>
              </w:rPr>
            </w:pPr>
            <w:r w:rsidRPr="00AC7279">
              <w:rPr>
                <w:sz w:val="16"/>
                <w:szCs w:val="16"/>
              </w:rPr>
              <w:t xml:space="preserve">Could enhance </w:t>
            </w:r>
            <w:r w:rsidR="00F37384" w:rsidRPr="00AC7279">
              <w:rPr>
                <w:sz w:val="16"/>
                <w:szCs w:val="16"/>
              </w:rPr>
              <w:t xml:space="preserve">the </w:t>
            </w:r>
            <w:r w:rsidRPr="00AC7279">
              <w:rPr>
                <w:sz w:val="16"/>
                <w:szCs w:val="16"/>
              </w:rPr>
              <w:t>ERAC assessment of methods against the offsets integrity standards and help facilitate environmental integrity.</w:t>
            </w:r>
          </w:p>
        </w:tc>
        <w:tc>
          <w:tcPr>
            <w:tcW w:w="2117" w:type="dxa"/>
          </w:tcPr>
          <w:p w14:paraId="1D5F0B27" w14:textId="75B9B7E4" w:rsidR="00024D18" w:rsidRPr="00AC7279" w:rsidRDefault="00024D18" w:rsidP="009C33DE">
            <w:pPr>
              <w:ind w:right="14"/>
              <w:rPr>
                <w:sz w:val="16"/>
                <w:szCs w:val="16"/>
              </w:rPr>
            </w:pPr>
            <w:r w:rsidRPr="00AC7279">
              <w:rPr>
                <w:sz w:val="16"/>
                <w:szCs w:val="16"/>
              </w:rPr>
              <w:t>Improves transparency and maintains consistent decision</w:t>
            </w:r>
            <w:r w:rsidR="003417AB" w:rsidRPr="00AC7279">
              <w:rPr>
                <w:sz w:val="16"/>
                <w:szCs w:val="16"/>
              </w:rPr>
              <w:t xml:space="preserve"> </w:t>
            </w:r>
            <w:r w:rsidRPr="00AC7279">
              <w:rPr>
                <w:sz w:val="16"/>
                <w:szCs w:val="16"/>
              </w:rPr>
              <w:t>making over time.</w:t>
            </w:r>
          </w:p>
        </w:tc>
        <w:tc>
          <w:tcPr>
            <w:tcW w:w="2120" w:type="dxa"/>
          </w:tcPr>
          <w:p w14:paraId="623BA072" w14:textId="0C5A5761" w:rsidR="00024D18" w:rsidRPr="00AC7279" w:rsidRDefault="00024D18" w:rsidP="009C33DE">
            <w:pPr>
              <w:rPr>
                <w:sz w:val="16"/>
                <w:szCs w:val="16"/>
              </w:rPr>
            </w:pPr>
            <w:r w:rsidRPr="00AC7279">
              <w:rPr>
                <w:sz w:val="16"/>
                <w:szCs w:val="16"/>
              </w:rPr>
              <w:t>Minister/D</w:t>
            </w:r>
            <w:r w:rsidR="00024CAC" w:rsidRPr="00AC7279">
              <w:rPr>
                <w:sz w:val="16"/>
                <w:szCs w:val="16"/>
              </w:rPr>
              <w:t>epartment</w:t>
            </w:r>
            <w:r w:rsidRPr="00AC7279">
              <w:rPr>
                <w:sz w:val="16"/>
                <w:szCs w:val="16"/>
              </w:rPr>
              <w:t xml:space="preserve"> and </w:t>
            </w:r>
            <w:r w:rsidR="00F37384" w:rsidRPr="00AC7279">
              <w:rPr>
                <w:sz w:val="16"/>
                <w:szCs w:val="16"/>
              </w:rPr>
              <w:t xml:space="preserve">the </w:t>
            </w:r>
            <w:r w:rsidRPr="00AC7279">
              <w:rPr>
                <w:sz w:val="16"/>
                <w:szCs w:val="16"/>
              </w:rPr>
              <w:t>ERAC</w:t>
            </w:r>
          </w:p>
        </w:tc>
      </w:tr>
      <w:tr w:rsidR="009C33DE" w:rsidRPr="005206CA" w14:paraId="2D7B9AA9"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7015979B" w14:textId="1BFFB3EB"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_Ref497827513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3</w:t>
            </w:r>
            <w:r w:rsidRPr="00AC7279">
              <w:rPr>
                <w:b/>
                <w:sz w:val="16"/>
                <w:szCs w:val="16"/>
              </w:rPr>
              <w:fldChar w:fldCharType="end"/>
            </w:r>
          </w:p>
        </w:tc>
        <w:tc>
          <w:tcPr>
            <w:tcW w:w="2724" w:type="dxa"/>
          </w:tcPr>
          <w:p w14:paraId="076603D5" w14:textId="00D6ECA0" w:rsidR="00024D18" w:rsidRPr="00AC7279" w:rsidRDefault="00024D18" w:rsidP="009C33DE">
            <w:pPr>
              <w:rPr>
                <w:rFonts w:eastAsia="Times New Roman"/>
                <w:sz w:val="16"/>
                <w:szCs w:val="16"/>
              </w:rPr>
            </w:pPr>
            <w:r w:rsidRPr="00AC7279">
              <w:rPr>
                <w:sz w:val="16"/>
                <w:szCs w:val="16"/>
              </w:rPr>
              <w:t xml:space="preserve">Separate </w:t>
            </w:r>
            <w:r w:rsidR="009D289B" w:rsidRPr="00AC7279">
              <w:rPr>
                <w:sz w:val="16"/>
                <w:szCs w:val="16"/>
              </w:rPr>
              <w:t>s</w:t>
            </w:r>
            <w:r w:rsidR="008875DD" w:rsidRPr="00AC7279">
              <w:rPr>
                <w:sz w:val="16"/>
                <w:szCs w:val="16"/>
              </w:rPr>
              <w:t xml:space="preserve">enior </w:t>
            </w:r>
            <w:r w:rsidR="009D289B" w:rsidRPr="00AC7279">
              <w:rPr>
                <w:sz w:val="16"/>
                <w:szCs w:val="16"/>
              </w:rPr>
              <w:t>ex</w:t>
            </w:r>
            <w:r w:rsidR="008875DD" w:rsidRPr="00AC7279">
              <w:rPr>
                <w:sz w:val="16"/>
                <w:szCs w:val="16"/>
              </w:rPr>
              <w:t xml:space="preserve">ecutive </w:t>
            </w:r>
            <w:r w:rsidRPr="00AC7279">
              <w:rPr>
                <w:sz w:val="16"/>
                <w:szCs w:val="16"/>
              </w:rPr>
              <w:t>accountability for the ERAC secretariat from that for method development.</w:t>
            </w:r>
          </w:p>
        </w:tc>
        <w:tc>
          <w:tcPr>
            <w:tcW w:w="2542" w:type="dxa"/>
            <w:gridSpan w:val="2"/>
          </w:tcPr>
          <w:p w14:paraId="6FADB2DB" w14:textId="50405512" w:rsidR="00024D18" w:rsidRPr="00AC7279" w:rsidRDefault="00024D18" w:rsidP="009C33DE">
            <w:pPr>
              <w:rPr>
                <w:sz w:val="16"/>
                <w:szCs w:val="16"/>
              </w:rPr>
            </w:pPr>
            <w:r w:rsidRPr="00AC7279">
              <w:rPr>
                <w:sz w:val="16"/>
                <w:szCs w:val="16"/>
              </w:rPr>
              <w:t>Imposes an additional administrative cost for D</w:t>
            </w:r>
            <w:r w:rsidR="00024CAC" w:rsidRPr="00AC7279">
              <w:rPr>
                <w:sz w:val="16"/>
                <w:szCs w:val="16"/>
              </w:rPr>
              <w:t>epartment</w:t>
            </w:r>
            <w:r w:rsidRPr="00AC7279">
              <w:rPr>
                <w:sz w:val="16"/>
                <w:szCs w:val="16"/>
              </w:rPr>
              <w:t>.</w:t>
            </w:r>
          </w:p>
        </w:tc>
        <w:tc>
          <w:tcPr>
            <w:tcW w:w="2399" w:type="dxa"/>
          </w:tcPr>
          <w:p w14:paraId="75B36967" w14:textId="265C15BA" w:rsidR="00024D18" w:rsidRPr="00AC7279" w:rsidRDefault="00024D18" w:rsidP="009C33DE">
            <w:pPr>
              <w:rPr>
                <w:sz w:val="16"/>
                <w:szCs w:val="16"/>
              </w:rPr>
            </w:pPr>
            <w:r w:rsidRPr="00AC7279">
              <w:rPr>
                <w:sz w:val="16"/>
                <w:szCs w:val="16"/>
              </w:rPr>
              <w:t>Could improve perception of</w:t>
            </w:r>
            <w:r w:rsidR="00F37384" w:rsidRPr="00AC7279">
              <w:rPr>
                <w:sz w:val="16"/>
                <w:szCs w:val="16"/>
              </w:rPr>
              <w:t xml:space="preserve"> </w:t>
            </w:r>
            <w:r w:rsidR="00501084">
              <w:rPr>
                <w:sz w:val="16"/>
                <w:szCs w:val="16"/>
              </w:rPr>
              <w:t xml:space="preserve">the </w:t>
            </w:r>
            <w:r w:rsidRPr="00AC7279">
              <w:rPr>
                <w:sz w:val="16"/>
                <w:szCs w:val="16"/>
              </w:rPr>
              <w:t>ERAC</w:t>
            </w:r>
            <w:r w:rsidR="00501084">
              <w:rPr>
                <w:sz w:val="16"/>
                <w:szCs w:val="16"/>
              </w:rPr>
              <w:t>’s</w:t>
            </w:r>
            <w:r w:rsidRPr="00AC7279">
              <w:rPr>
                <w:sz w:val="16"/>
                <w:szCs w:val="16"/>
              </w:rPr>
              <w:t xml:space="preserve"> independence and method development process.</w:t>
            </w:r>
          </w:p>
        </w:tc>
        <w:tc>
          <w:tcPr>
            <w:tcW w:w="2400" w:type="dxa"/>
          </w:tcPr>
          <w:p w14:paraId="7EDF7958" w14:textId="77777777" w:rsidR="00024D18" w:rsidRPr="00AC7279" w:rsidRDefault="00024D18" w:rsidP="009C33DE">
            <w:pPr>
              <w:rPr>
                <w:sz w:val="16"/>
                <w:szCs w:val="16"/>
              </w:rPr>
            </w:pPr>
            <w:r w:rsidRPr="00AC7279">
              <w:rPr>
                <w:sz w:val="16"/>
                <w:szCs w:val="16"/>
              </w:rPr>
              <w:t>NA</w:t>
            </w:r>
          </w:p>
        </w:tc>
        <w:tc>
          <w:tcPr>
            <w:tcW w:w="2117" w:type="dxa"/>
          </w:tcPr>
          <w:p w14:paraId="5E3F1895" w14:textId="77777777" w:rsidR="00024D18" w:rsidRPr="00AC7279" w:rsidRDefault="00024D18" w:rsidP="009C33DE">
            <w:pPr>
              <w:ind w:right="14"/>
              <w:rPr>
                <w:sz w:val="16"/>
                <w:szCs w:val="16"/>
              </w:rPr>
            </w:pPr>
            <w:r w:rsidRPr="00AC7279">
              <w:rPr>
                <w:sz w:val="16"/>
                <w:szCs w:val="16"/>
              </w:rPr>
              <w:t>NA</w:t>
            </w:r>
          </w:p>
        </w:tc>
        <w:tc>
          <w:tcPr>
            <w:tcW w:w="2120" w:type="dxa"/>
          </w:tcPr>
          <w:p w14:paraId="359EF075" w14:textId="4F0C6E0E" w:rsidR="00024D18" w:rsidRPr="00AC7279" w:rsidRDefault="00024D18" w:rsidP="009C33DE">
            <w:pPr>
              <w:rPr>
                <w:sz w:val="16"/>
                <w:szCs w:val="16"/>
              </w:rPr>
            </w:pPr>
            <w:r w:rsidRPr="00AC7279">
              <w:rPr>
                <w:sz w:val="16"/>
                <w:szCs w:val="16"/>
              </w:rPr>
              <w:t>D</w:t>
            </w:r>
            <w:r w:rsidR="00024CAC" w:rsidRPr="00AC7279">
              <w:rPr>
                <w:sz w:val="16"/>
                <w:szCs w:val="16"/>
              </w:rPr>
              <w:t>epartment</w:t>
            </w:r>
          </w:p>
        </w:tc>
      </w:tr>
      <w:tr w:rsidR="009C33DE" w:rsidRPr="005206CA" w14:paraId="38C74C2E" w14:textId="77777777" w:rsidTr="00AC7279">
        <w:trPr>
          <w:cnfStyle w:val="000000010000" w:firstRow="0" w:lastRow="0" w:firstColumn="0" w:lastColumn="0" w:oddVBand="0" w:evenVBand="0" w:oddHBand="0" w:evenHBand="1" w:firstRowFirstColumn="0" w:firstRowLastColumn="0" w:lastRowFirstColumn="0" w:lastRowLastColumn="0"/>
          <w:trHeight w:val="2211"/>
        </w:trPr>
        <w:tc>
          <w:tcPr>
            <w:tcW w:w="805" w:type="dxa"/>
          </w:tcPr>
          <w:p w14:paraId="7F1555D4" w14:textId="3F88541A" w:rsidR="007C0998" w:rsidRPr="00AC7279" w:rsidRDefault="00E557DB" w:rsidP="009C33DE">
            <w:pPr>
              <w:rPr>
                <w:b/>
                <w:sz w:val="16"/>
                <w:szCs w:val="16"/>
              </w:rPr>
            </w:pPr>
            <w:r w:rsidRPr="00AC7279">
              <w:rPr>
                <w:sz w:val="16"/>
                <w:szCs w:val="16"/>
              </w:rPr>
              <w:fldChar w:fldCharType="begin"/>
            </w:r>
            <w:r w:rsidRPr="00AC7279">
              <w:rPr>
                <w:sz w:val="16"/>
                <w:szCs w:val="16"/>
              </w:rPr>
              <w:instrText xml:space="preserve"> REF _Ref497827523 \h </w:instrText>
            </w:r>
            <w:r w:rsidR="009C33DE" w:rsidRPr="005206CA">
              <w:rPr>
                <w:sz w:val="16"/>
                <w:szCs w:val="16"/>
              </w:rPr>
              <w:instrText xml:space="preserve"> \* MERGEFORMAT </w:instrText>
            </w:r>
            <w:r w:rsidRPr="00AC7279">
              <w:rPr>
                <w:sz w:val="16"/>
                <w:szCs w:val="16"/>
              </w:rPr>
            </w:r>
            <w:r w:rsidRPr="00AC7279">
              <w:rPr>
                <w:sz w:val="16"/>
                <w:szCs w:val="16"/>
              </w:rPr>
              <w:fldChar w:fldCharType="separate"/>
            </w:r>
            <w:r w:rsidR="00FA2002" w:rsidRPr="00FA2002">
              <w:rPr>
                <w:rFonts w:cs="Arial"/>
                <w:sz w:val="16"/>
                <w:szCs w:val="16"/>
              </w:rPr>
              <w:t xml:space="preserve">R. </w:t>
            </w:r>
            <w:r w:rsidR="00FA2002" w:rsidRPr="00FA2002">
              <w:rPr>
                <w:rFonts w:cs="Arial"/>
                <w:noProof/>
                <w:sz w:val="16"/>
                <w:szCs w:val="16"/>
              </w:rPr>
              <w:t>4</w:t>
            </w:r>
            <w:r w:rsidRPr="00AC7279">
              <w:rPr>
                <w:sz w:val="16"/>
                <w:szCs w:val="16"/>
              </w:rPr>
              <w:fldChar w:fldCharType="end"/>
            </w:r>
          </w:p>
        </w:tc>
        <w:tc>
          <w:tcPr>
            <w:tcW w:w="2724" w:type="dxa"/>
          </w:tcPr>
          <w:p w14:paraId="708A9DD3" w14:textId="525F2362" w:rsidR="007C0998" w:rsidRPr="00AC7279" w:rsidRDefault="007119CC" w:rsidP="009C33DE">
            <w:pPr>
              <w:rPr>
                <w:rFonts w:eastAsia="Times New Roman"/>
                <w:sz w:val="16"/>
                <w:szCs w:val="16"/>
              </w:rPr>
            </w:pPr>
            <w:r w:rsidRPr="00AC7279">
              <w:rPr>
                <w:sz w:val="16"/>
                <w:szCs w:val="16"/>
              </w:rPr>
              <w:t xml:space="preserve">Make method variations to incorporate guidance on the most </w:t>
            </w:r>
            <w:r w:rsidR="007C0998" w:rsidRPr="00AC7279">
              <w:rPr>
                <w:sz w:val="16"/>
                <w:szCs w:val="16"/>
              </w:rPr>
              <w:t xml:space="preserve">current estimation </w:t>
            </w:r>
            <w:r w:rsidRPr="00AC7279">
              <w:rPr>
                <w:sz w:val="16"/>
                <w:szCs w:val="16"/>
              </w:rPr>
              <w:t xml:space="preserve">techniques, tools and calculators. </w:t>
            </w:r>
          </w:p>
          <w:p w14:paraId="10D59294" w14:textId="11B31894" w:rsidR="007C0998" w:rsidRPr="00AC7279" w:rsidRDefault="007C0998" w:rsidP="009C33DE">
            <w:pPr>
              <w:rPr>
                <w:rFonts w:eastAsia="Times New Roman"/>
                <w:sz w:val="16"/>
                <w:szCs w:val="16"/>
              </w:rPr>
            </w:pPr>
            <w:r w:rsidRPr="00AC7279">
              <w:rPr>
                <w:rFonts w:eastAsia="Times New Roman"/>
                <w:sz w:val="16"/>
                <w:szCs w:val="16"/>
              </w:rPr>
              <w:t xml:space="preserve">ERF scheme participants </w:t>
            </w:r>
            <w:r w:rsidR="007119CC" w:rsidRPr="00AC7279">
              <w:rPr>
                <w:rFonts w:eastAsia="Times New Roman"/>
                <w:sz w:val="16"/>
                <w:szCs w:val="16"/>
              </w:rPr>
              <w:t xml:space="preserve">must move </w:t>
            </w:r>
            <w:r w:rsidRPr="00AC7279">
              <w:rPr>
                <w:rFonts w:eastAsia="Times New Roman"/>
                <w:sz w:val="16"/>
                <w:szCs w:val="16"/>
              </w:rPr>
              <w:t>to the new method within two years if a variation is made.</w:t>
            </w:r>
          </w:p>
        </w:tc>
        <w:tc>
          <w:tcPr>
            <w:tcW w:w="2542" w:type="dxa"/>
            <w:gridSpan w:val="2"/>
          </w:tcPr>
          <w:p w14:paraId="6C64F308" w14:textId="6B1E9D5F" w:rsidR="007C0998" w:rsidRPr="00AC7279" w:rsidRDefault="007C0998" w:rsidP="009C33DE">
            <w:pPr>
              <w:rPr>
                <w:sz w:val="16"/>
                <w:szCs w:val="16"/>
              </w:rPr>
            </w:pPr>
            <w:r w:rsidRPr="00AC7279">
              <w:rPr>
                <w:sz w:val="16"/>
                <w:szCs w:val="16"/>
              </w:rPr>
              <w:t xml:space="preserve">Increases uncertainty and potentially costs for </w:t>
            </w:r>
            <w:r w:rsidR="002B7B1D">
              <w:rPr>
                <w:sz w:val="16"/>
                <w:szCs w:val="16"/>
              </w:rPr>
              <w:t xml:space="preserve">scheme </w:t>
            </w:r>
            <w:r w:rsidRPr="00AC7279">
              <w:rPr>
                <w:sz w:val="16"/>
                <w:szCs w:val="16"/>
              </w:rPr>
              <w:t>participants.</w:t>
            </w:r>
          </w:p>
          <w:p w14:paraId="77CC6DBE" w14:textId="77777777" w:rsidR="007C0998" w:rsidRPr="00AC7279" w:rsidRDefault="007C0998" w:rsidP="009C33DE">
            <w:pPr>
              <w:rPr>
                <w:sz w:val="16"/>
                <w:szCs w:val="16"/>
              </w:rPr>
            </w:pPr>
            <w:r w:rsidRPr="00AC7279">
              <w:rPr>
                <w:sz w:val="16"/>
                <w:szCs w:val="16"/>
              </w:rPr>
              <w:t>Returns on investment on existing projects could be lower than expected.</w:t>
            </w:r>
          </w:p>
        </w:tc>
        <w:tc>
          <w:tcPr>
            <w:tcW w:w="2399" w:type="dxa"/>
          </w:tcPr>
          <w:p w14:paraId="789B0B54" w14:textId="77777777" w:rsidR="007C0998" w:rsidRPr="00AC7279" w:rsidRDefault="007C0998" w:rsidP="009C33DE">
            <w:pPr>
              <w:rPr>
                <w:sz w:val="16"/>
                <w:szCs w:val="16"/>
              </w:rPr>
            </w:pPr>
            <w:r w:rsidRPr="00AC7279">
              <w:rPr>
                <w:sz w:val="16"/>
                <w:szCs w:val="16"/>
              </w:rPr>
              <w:t>Improves integrity of emissions reductions and provides better value for tax payer funds.</w:t>
            </w:r>
          </w:p>
          <w:p w14:paraId="6F0E98B6" w14:textId="1EC2A1B6" w:rsidR="007C0998" w:rsidRPr="00AC7279" w:rsidRDefault="007C0998" w:rsidP="009C33DE">
            <w:pPr>
              <w:rPr>
                <w:sz w:val="16"/>
                <w:szCs w:val="16"/>
              </w:rPr>
            </w:pPr>
            <w:r w:rsidRPr="00AC7279">
              <w:rPr>
                <w:sz w:val="16"/>
                <w:szCs w:val="16"/>
              </w:rPr>
              <w:t>Reduces costs for CER and D</w:t>
            </w:r>
            <w:r w:rsidR="00024CAC" w:rsidRPr="00AC7279">
              <w:rPr>
                <w:sz w:val="16"/>
                <w:szCs w:val="16"/>
              </w:rPr>
              <w:t>epartment</w:t>
            </w:r>
            <w:r w:rsidRPr="00AC7279">
              <w:rPr>
                <w:sz w:val="16"/>
                <w:szCs w:val="16"/>
              </w:rPr>
              <w:t xml:space="preserve"> to maintain old methods and tools.</w:t>
            </w:r>
          </w:p>
        </w:tc>
        <w:tc>
          <w:tcPr>
            <w:tcW w:w="2400" w:type="dxa"/>
          </w:tcPr>
          <w:p w14:paraId="1E05806B" w14:textId="77777777" w:rsidR="007C0998" w:rsidRPr="00AC7279" w:rsidRDefault="007C0998" w:rsidP="009C33DE">
            <w:pPr>
              <w:rPr>
                <w:sz w:val="16"/>
                <w:szCs w:val="16"/>
              </w:rPr>
            </w:pPr>
            <w:r w:rsidRPr="00AC7279">
              <w:rPr>
                <w:sz w:val="16"/>
                <w:szCs w:val="16"/>
              </w:rPr>
              <w:t>Improves integrity of emissions reductions.</w:t>
            </w:r>
          </w:p>
        </w:tc>
        <w:tc>
          <w:tcPr>
            <w:tcW w:w="2117" w:type="dxa"/>
          </w:tcPr>
          <w:p w14:paraId="541C5DEA" w14:textId="595F3E1E" w:rsidR="007C0998" w:rsidRPr="00AC7279" w:rsidRDefault="007C0998" w:rsidP="009C33DE">
            <w:pPr>
              <w:ind w:right="14"/>
              <w:rPr>
                <w:sz w:val="16"/>
                <w:szCs w:val="16"/>
              </w:rPr>
            </w:pPr>
            <w:r w:rsidRPr="00AC7279">
              <w:rPr>
                <w:sz w:val="16"/>
                <w:szCs w:val="16"/>
              </w:rPr>
              <w:t xml:space="preserve">Imposes a retrospective change on incumbents, transfers risk from the Government to </w:t>
            </w:r>
            <w:r w:rsidR="002B7B1D">
              <w:rPr>
                <w:sz w:val="16"/>
                <w:szCs w:val="16"/>
              </w:rPr>
              <w:t xml:space="preserve">scheme </w:t>
            </w:r>
            <w:r w:rsidRPr="00AC7279">
              <w:rPr>
                <w:sz w:val="16"/>
                <w:szCs w:val="16"/>
              </w:rPr>
              <w:t>participants.</w:t>
            </w:r>
          </w:p>
        </w:tc>
        <w:tc>
          <w:tcPr>
            <w:tcW w:w="2120" w:type="dxa"/>
          </w:tcPr>
          <w:p w14:paraId="5F4BBA10" w14:textId="24DF585D" w:rsidR="007C0998" w:rsidRPr="00AC7279" w:rsidRDefault="007C0998" w:rsidP="009C33DE">
            <w:pPr>
              <w:rPr>
                <w:sz w:val="16"/>
                <w:szCs w:val="16"/>
              </w:rPr>
            </w:pPr>
            <w:r w:rsidRPr="00AC7279">
              <w:rPr>
                <w:sz w:val="16"/>
                <w:szCs w:val="16"/>
              </w:rPr>
              <w:t>Change to CFI Act to capture existing methods</w:t>
            </w:r>
            <w:r w:rsidR="00BA471C" w:rsidRPr="00AC7279">
              <w:rPr>
                <w:sz w:val="16"/>
                <w:szCs w:val="16"/>
              </w:rPr>
              <w:t>.</w:t>
            </w:r>
          </w:p>
          <w:p w14:paraId="772DF2C4" w14:textId="2BC28295" w:rsidR="007C0998" w:rsidRPr="00AC7279" w:rsidRDefault="00BA471C" w:rsidP="009C33DE">
            <w:pPr>
              <w:rPr>
                <w:sz w:val="16"/>
                <w:szCs w:val="16"/>
              </w:rPr>
            </w:pPr>
            <w:r w:rsidRPr="00AC7279">
              <w:rPr>
                <w:sz w:val="16"/>
                <w:szCs w:val="16"/>
              </w:rPr>
              <w:t xml:space="preserve">Minister and </w:t>
            </w:r>
            <w:r w:rsidR="007C0998" w:rsidRPr="00AC7279">
              <w:rPr>
                <w:sz w:val="16"/>
                <w:szCs w:val="16"/>
              </w:rPr>
              <w:t>D</w:t>
            </w:r>
            <w:r w:rsidR="00024CAC" w:rsidRPr="00AC7279">
              <w:rPr>
                <w:sz w:val="16"/>
                <w:szCs w:val="16"/>
              </w:rPr>
              <w:t>epartment</w:t>
            </w:r>
            <w:r w:rsidR="007C0998" w:rsidRPr="00AC7279">
              <w:rPr>
                <w:sz w:val="16"/>
                <w:szCs w:val="16"/>
              </w:rPr>
              <w:t xml:space="preserve"> for the method variation</w:t>
            </w:r>
            <w:r w:rsidRPr="00AC7279">
              <w:rPr>
                <w:sz w:val="16"/>
                <w:szCs w:val="16"/>
              </w:rPr>
              <w:t>s.</w:t>
            </w:r>
          </w:p>
        </w:tc>
      </w:tr>
      <w:tr w:rsidR="009C33DE" w:rsidRPr="005206CA" w14:paraId="55531EE8" w14:textId="77777777" w:rsidTr="0033387E">
        <w:trPr>
          <w:cnfStyle w:val="000000100000" w:firstRow="0" w:lastRow="0" w:firstColumn="0" w:lastColumn="0" w:oddVBand="0" w:evenVBand="0" w:oddHBand="1" w:evenHBand="0" w:firstRowFirstColumn="0" w:firstRowLastColumn="0" w:lastRowFirstColumn="0" w:lastRowLastColumn="0"/>
          <w:trHeight w:val="113"/>
        </w:trPr>
        <w:tc>
          <w:tcPr>
            <w:tcW w:w="805" w:type="dxa"/>
            <w:vMerge w:val="restart"/>
            <w:shd w:val="clear" w:color="auto" w:fill="159DCE"/>
          </w:tcPr>
          <w:p w14:paraId="0AE8D3FA" w14:textId="6126097D" w:rsidR="009C33DE" w:rsidRPr="005206CA" w:rsidRDefault="009C33DE" w:rsidP="00AC7279">
            <w:pPr>
              <w:spacing w:after="0"/>
              <w:rPr>
                <w:sz w:val="16"/>
                <w:szCs w:val="16"/>
              </w:rPr>
            </w:pPr>
          </w:p>
        </w:tc>
        <w:tc>
          <w:tcPr>
            <w:tcW w:w="2724" w:type="dxa"/>
            <w:vMerge w:val="restart"/>
            <w:shd w:val="clear" w:color="auto" w:fill="159DCE"/>
            <w:vAlign w:val="center"/>
          </w:tcPr>
          <w:p w14:paraId="2118DEEF" w14:textId="41E9D3CD" w:rsidR="009C33DE" w:rsidRPr="005206CA" w:rsidRDefault="009C33DE"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3CB09541" w14:textId="77777777" w:rsidR="009C33DE" w:rsidRPr="005206CA" w:rsidRDefault="009C33DE"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2E9945A6" w14:textId="0F90AFAF" w:rsidR="009C33DE" w:rsidRPr="005206CA" w:rsidRDefault="009C33DE" w:rsidP="00AC7279">
            <w:pPr>
              <w:spacing w:after="0"/>
              <w:rPr>
                <w:sz w:val="16"/>
                <w:szCs w:val="16"/>
              </w:rPr>
            </w:pPr>
          </w:p>
        </w:tc>
        <w:tc>
          <w:tcPr>
            <w:tcW w:w="2400" w:type="dxa"/>
            <w:vMerge w:val="restart"/>
            <w:shd w:val="clear" w:color="auto" w:fill="159DCE"/>
            <w:vAlign w:val="center"/>
          </w:tcPr>
          <w:p w14:paraId="4911B6FD" w14:textId="25A98EEF" w:rsidR="009C33DE" w:rsidRPr="005206CA" w:rsidDel="00642817" w:rsidRDefault="009C33DE"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47A5DEE7" w14:textId="74DD2649" w:rsidR="009C33DE" w:rsidRPr="005206CA" w:rsidRDefault="009C33DE"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41651956" w14:textId="0CA6415B" w:rsidR="009C33DE" w:rsidRPr="005206CA" w:rsidRDefault="009C33DE" w:rsidP="00AC7279">
            <w:pPr>
              <w:spacing w:after="0"/>
              <w:rPr>
                <w:sz w:val="16"/>
                <w:szCs w:val="16"/>
              </w:rPr>
            </w:pPr>
            <w:r w:rsidRPr="005206CA">
              <w:rPr>
                <w:b/>
                <w:color w:val="FFFFFF" w:themeColor="background1"/>
                <w:sz w:val="16"/>
                <w:szCs w:val="16"/>
              </w:rPr>
              <w:t>IMPLEMENTATION PROCESS</w:t>
            </w:r>
          </w:p>
        </w:tc>
      </w:tr>
      <w:tr w:rsidR="009C33DE" w:rsidRPr="005206CA" w14:paraId="75615D38" w14:textId="77777777" w:rsidTr="0033387E">
        <w:trPr>
          <w:cnfStyle w:val="000000010000" w:firstRow="0" w:lastRow="0" w:firstColumn="0" w:lastColumn="0" w:oddVBand="0" w:evenVBand="0" w:oddHBand="0" w:evenHBand="1" w:firstRowFirstColumn="0" w:firstRowLastColumn="0" w:lastRowFirstColumn="0" w:lastRowLastColumn="0"/>
          <w:trHeight w:val="285"/>
        </w:trPr>
        <w:tc>
          <w:tcPr>
            <w:tcW w:w="805" w:type="dxa"/>
            <w:vMerge/>
            <w:shd w:val="clear" w:color="auto" w:fill="159DCE"/>
          </w:tcPr>
          <w:p w14:paraId="3AF043B5" w14:textId="77777777" w:rsidR="009C33DE" w:rsidRPr="005206CA" w:rsidRDefault="009C33DE" w:rsidP="009C33DE">
            <w:pPr>
              <w:rPr>
                <w:sz w:val="16"/>
                <w:szCs w:val="16"/>
              </w:rPr>
            </w:pPr>
          </w:p>
        </w:tc>
        <w:tc>
          <w:tcPr>
            <w:tcW w:w="2724" w:type="dxa"/>
            <w:vMerge/>
            <w:shd w:val="clear" w:color="auto" w:fill="159DCE"/>
            <w:vAlign w:val="center"/>
          </w:tcPr>
          <w:p w14:paraId="2E624821" w14:textId="77777777" w:rsidR="009C33DE" w:rsidRPr="005206CA" w:rsidRDefault="009C33DE" w:rsidP="009C33DE">
            <w:pPr>
              <w:rPr>
                <w:b/>
                <w:color w:val="FFFFFF" w:themeColor="background1"/>
                <w:sz w:val="16"/>
                <w:szCs w:val="16"/>
              </w:rPr>
            </w:pPr>
          </w:p>
        </w:tc>
        <w:tc>
          <w:tcPr>
            <w:tcW w:w="2470" w:type="dxa"/>
            <w:shd w:val="clear" w:color="auto" w:fill="159DCE"/>
            <w:vAlign w:val="center"/>
          </w:tcPr>
          <w:p w14:paraId="5B523718" w14:textId="411FAD49" w:rsidR="009C33DE" w:rsidRPr="005206CA" w:rsidRDefault="009C33DE"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0B75D782" w14:textId="65E2994B" w:rsidR="009C33DE" w:rsidRPr="005206CA" w:rsidRDefault="009C33DE"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42D94E93" w14:textId="77777777" w:rsidR="009C33DE" w:rsidRPr="005206CA" w:rsidRDefault="009C33DE" w:rsidP="00AC7279">
            <w:pPr>
              <w:spacing w:after="0"/>
              <w:rPr>
                <w:b/>
                <w:color w:val="FFFFFF" w:themeColor="background1"/>
                <w:sz w:val="16"/>
                <w:szCs w:val="16"/>
              </w:rPr>
            </w:pPr>
          </w:p>
        </w:tc>
        <w:tc>
          <w:tcPr>
            <w:tcW w:w="2117" w:type="dxa"/>
            <w:vMerge/>
            <w:shd w:val="clear" w:color="auto" w:fill="159DCE"/>
            <w:vAlign w:val="center"/>
          </w:tcPr>
          <w:p w14:paraId="25A827A9" w14:textId="77777777" w:rsidR="009C33DE" w:rsidRPr="005206CA" w:rsidRDefault="009C33DE" w:rsidP="00AC7279">
            <w:pPr>
              <w:spacing w:after="0"/>
              <w:rPr>
                <w:b/>
                <w:color w:val="FFFFFF" w:themeColor="background1"/>
                <w:sz w:val="16"/>
                <w:szCs w:val="16"/>
              </w:rPr>
            </w:pPr>
          </w:p>
        </w:tc>
        <w:tc>
          <w:tcPr>
            <w:tcW w:w="2120" w:type="dxa"/>
            <w:vMerge/>
            <w:shd w:val="clear" w:color="auto" w:fill="159DCE"/>
            <w:vAlign w:val="center"/>
          </w:tcPr>
          <w:p w14:paraId="3F063218" w14:textId="77777777" w:rsidR="009C33DE" w:rsidRPr="005206CA" w:rsidRDefault="009C33DE" w:rsidP="00AC7279">
            <w:pPr>
              <w:spacing w:after="0"/>
              <w:rPr>
                <w:b/>
                <w:color w:val="FFFFFF" w:themeColor="background1"/>
                <w:sz w:val="16"/>
                <w:szCs w:val="16"/>
              </w:rPr>
            </w:pPr>
          </w:p>
        </w:tc>
      </w:tr>
      <w:tr w:rsidR="009C33DE" w:rsidRPr="005206CA" w14:paraId="52941ACD" w14:textId="77777777" w:rsidTr="00AC7279">
        <w:trPr>
          <w:cnfStyle w:val="000000100000" w:firstRow="0" w:lastRow="0" w:firstColumn="0" w:lastColumn="0" w:oddVBand="0" w:evenVBand="0" w:oddHBand="1" w:evenHBand="0" w:firstRowFirstColumn="0" w:firstRowLastColumn="0" w:lastRowFirstColumn="0" w:lastRowLastColumn="0"/>
          <w:trHeight w:val="20"/>
        </w:trPr>
        <w:tc>
          <w:tcPr>
            <w:tcW w:w="805" w:type="dxa"/>
          </w:tcPr>
          <w:p w14:paraId="4844457C" w14:textId="6C0F3F50" w:rsidR="007C0998" w:rsidRPr="00AC7279" w:rsidRDefault="00E557DB" w:rsidP="009C33DE">
            <w:pPr>
              <w:rPr>
                <w:sz w:val="16"/>
                <w:szCs w:val="16"/>
              </w:rPr>
            </w:pPr>
            <w:r w:rsidRPr="00AC7279">
              <w:rPr>
                <w:sz w:val="16"/>
                <w:szCs w:val="16"/>
              </w:rPr>
              <w:fldChar w:fldCharType="begin"/>
            </w:r>
            <w:r w:rsidRPr="00AC7279">
              <w:rPr>
                <w:sz w:val="16"/>
                <w:szCs w:val="16"/>
              </w:rPr>
              <w:instrText xml:space="preserve"> REF _Ref497827610 \h </w:instrText>
            </w:r>
            <w:r w:rsidR="009C33DE" w:rsidRPr="005206CA">
              <w:rPr>
                <w:sz w:val="16"/>
                <w:szCs w:val="16"/>
              </w:rPr>
              <w:instrText xml:space="preserve"> \* MERGEFORMAT </w:instrText>
            </w:r>
            <w:r w:rsidRPr="00AC7279">
              <w:rPr>
                <w:sz w:val="16"/>
                <w:szCs w:val="16"/>
              </w:rPr>
            </w:r>
            <w:r w:rsidRPr="00AC7279">
              <w:rPr>
                <w:sz w:val="16"/>
                <w:szCs w:val="16"/>
              </w:rPr>
              <w:fldChar w:fldCharType="separate"/>
            </w:r>
            <w:r w:rsidR="00FA2002" w:rsidRPr="00FA2002">
              <w:rPr>
                <w:rFonts w:cs="Arial"/>
                <w:sz w:val="16"/>
                <w:szCs w:val="16"/>
              </w:rPr>
              <w:t xml:space="preserve">R. </w:t>
            </w:r>
            <w:r w:rsidR="00FA2002" w:rsidRPr="00FA2002">
              <w:rPr>
                <w:rFonts w:cs="Arial"/>
                <w:noProof/>
                <w:sz w:val="16"/>
                <w:szCs w:val="16"/>
              </w:rPr>
              <w:t>5</w:t>
            </w:r>
            <w:r w:rsidRPr="00AC7279">
              <w:rPr>
                <w:sz w:val="16"/>
                <w:szCs w:val="16"/>
              </w:rPr>
              <w:fldChar w:fldCharType="end"/>
            </w:r>
          </w:p>
        </w:tc>
        <w:tc>
          <w:tcPr>
            <w:tcW w:w="2724" w:type="dxa"/>
          </w:tcPr>
          <w:p w14:paraId="7E2A8221" w14:textId="0F5EB401" w:rsidR="00C82DAE" w:rsidRPr="00AC7279" w:rsidRDefault="007D5AEF" w:rsidP="009C33DE">
            <w:pPr>
              <w:rPr>
                <w:sz w:val="16"/>
                <w:szCs w:val="16"/>
              </w:rPr>
            </w:pPr>
            <w:r w:rsidRPr="00AC7279">
              <w:rPr>
                <w:sz w:val="16"/>
                <w:szCs w:val="16"/>
              </w:rPr>
              <w:t xml:space="preserve">As part of its method reviews, the </w:t>
            </w:r>
            <w:r w:rsidR="007C0998" w:rsidRPr="00AC7279">
              <w:rPr>
                <w:sz w:val="16"/>
                <w:szCs w:val="16"/>
              </w:rPr>
              <w:t>ERAC to</w:t>
            </w:r>
            <w:r w:rsidR="00C82DAE" w:rsidRPr="00AC7279">
              <w:rPr>
                <w:sz w:val="16"/>
                <w:szCs w:val="16"/>
              </w:rPr>
              <w:t xml:space="preserve">: </w:t>
            </w:r>
          </w:p>
          <w:p w14:paraId="3FCF3542" w14:textId="0C65F604" w:rsidR="007C0998" w:rsidRPr="00AC7279" w:rsidRDefault="00C82DAE" w:rsidP="009C33DE">
            <w:pPr>
              <w:rPr>
                <w:sz w:val="16"/>
                <w:szCs w:val="16"/>
              </w:rPr>
            </w:pPr>
            <w:r w:rsidRPr="00AC7279">
              <w:rPr>
                <w:sz w:val="16"/>
                <w:szCs w:val="16"/>
              </w:rPr>
              <w:t xml:space="preserve">- </w:t>
            </w:r>
            <w:r w:rsidR="007C0998" w:rsidRPr="00AC7279">
              <w:rPr>
                <w:sz w:val="16"/>
                <w:szCs w:val="16"/>
              </w:rPr>
              <w:t>review the measured soil method</w:t>
            </w:r>
            <w:r w:rsidR="00BA471C" w:rsidRPr="00AC7279">
              <w:rPr>
                <w:sz w:val="16"/>
                <w:szCs w:val="16"/>
              </w:rPr>
              <w:t xml:space="preserve"> to assess its effectiveness in distinguishing between natural variability and management actions</w:t>
            </w:r>
          </w:p>
          <w:p w14:paraId="7C6952A5" w14:textId="0C9A6D04" w:rsidR="00F374F9" w:rsidRPr="00AC7279" w:rsidRDefault="00F374F9" w:rsidP="009C33DE">
            <w:pPr>
              <w:rPr>
                <w:sz w:val="16"/>
                <w:szCs w:val="16"/>
              </w:rPr>
            </w:pPr>
            <w:r w:rsidRPr="00AC7279">
              <w:rPr>
                <w:sz w:val="16"/>
                <w:szCs w:val="16"/>
                <w:lang w:val="en-US"/>
              </w:rPr>
              <w:t xml:space="preserve"> </w:t>
            </w:r>
            <w:r w:rsidR="00142FC7" w:rsidRPr="00AC7279">
              <w:rPr>
                <w:sz w:val="16"/>
                <w:szCs w:val="16"/>
                <w:lang w:val="en-US"/>
              </w:rPr>
              <w:t xml:space="preserve">- </w:t>
            </w:r>
            <w:r w:rsidRPr="00AC7279">
              <w:rPr>
                <w:sz w:val="16"/>
                <w:szCs w:val="16"/>
                <w:lang w:val="en-US"/>
              </w:rPr>
              <w:t xml:space="preserve">assess the estimation and project requirements for </w:t>
            </w:r>
            <w:r w:rsidR="00A42496" w:rsidRPr="00AC7279">
              <w:rPr>
                <w:sz w:val="16"/>
                <w:szCs w:val="16"/>
                <w:lang w:val="en-US"/>
              </w:rPr>
              <w:t>the</w:t>
            </w:r>
            <w:r w:rsidRPr="00AC7279">
              <w:rPr>
                <w:sz w:val="16"/>
                <w:szCs w:val="16"/>
                <w:lang w:val="en-US"/>
              </w:rPr>
              <w:t xml:space="preserve"> human</w:t>
            </w:r>
            <w:r w:rsidR="00722380" w:rsidRPr="00AC7279">
              <w:rPr>
                <w:sz w:val="16"/>
                <w:szCs w:val="16"/>
                <w:lang w:val="en-US"/>
              </w:rPr>
              <w:t>-</w:t>
            </w:r>
            <w:r w:rsidRPr="00AC7279">
              <w:rPr>
                <w:sz w:val="16"/>
                <w:szCs w:val="16"/>
                <w:lang w:val="en-US"/>
              </w:rPr>
              <w:t>induced regeneration method</w:t>
            </w:r>
          </w:p>
          <w:p w14:paraId="0B3AF5D4" w14:textId="3E9BBC50" w:rsidR="007C0998" w:rsidRPr="00AC7279" w:rsidRDefault="00C82DAE" w:rsidP="009C33DE">
            <w:pPr>
              <w:rPr>
                <w:sz w:val="16"/>
                <w:szCs w:val="16"/>
              </w:rPr>
            </w:pPr>
            <w:r w:rsidRPr="00AC7279">
              <w:rPr>
                <w:sz w:val="16"/>
                <w:szCs w:val="16"/>
              </w:rPr>
              <w:t xml:space="preserve">- </w:t>
            </w:r>
            <w:r w:rsidR="007C0998" w:rsidRPr="00AC7279">
              <w:rPr>
                <w:sz w:val="16"/>
                <w:szCs w:val="16"/>
              </w:rPr>
              <w:t>assess the additionality of project activities and baselines of the native forest managed regrowth method</w:t>
            </w:r>
          </w:p>
          <w:p w14:paraId="6FF5791D" w14:textId="77942020" w:rsidR="007C0998" w:rsidRPr="00AC7279" w:rsidRDefault="00C82DAE" w:rsidP="009C33DE">
            <w:pPr>
              <w:rPr>
                <w:sz w:val="16"/>
                <w:szCs w:val="16"/>
              </w:rPr>
            </w:pPr>
            <w:r w:rsidRPr="00AC7279">
              <w:rPr>
                <w:rFonts w:eastAsia="Times New Roman"/>
                <w:sz w:val="16"/>
                <w:szCs w:val="16"/>
              </w:rPr>
              <w:t xml:space="preserve">- </w:t>
            </w:r>
            <w:r w:rsidR="007C0998" w:rsidRPr="00AC7279">
              <w:rPr>
                <w:sz w:val="16"/>
                <w:szCs w:val="16"/>
              </w:rPr>
              <w:t>assess regulatory additionality baseline</w:t>
            </w:r>
            <w:r w:rsidR="001F6BFA" w:rsidRPr="00AC7279">
              <w:rPr>
                <w:sz w:val="16"/>
                <w:szCs w:val="16"/>
              </w:rPr>
              <w:t>s</w:t>
            </w:r>
            <w:r w:rsidR="007C0998" w:rsidRPr="00AC7279">
              <w:rPr>
                <w:sz w:val="16"/>
                <w:szCs w:val="16"/>
              </w:rPr>
              <w:t xml:space="preserve"> for the landfill gas method</w:t>
            </w:r>
          </w:p>
          <w:p w14:paraId="37344918" w14:textId="1B54E3D5" w:rsidR="007C0998" w:rsidRPr="00AC7279" w:rsidRDefault="00C82DAE" w:rsidP="009C33DE">
            <w:pPr>
              <w:rPr>
                <w:sz w:val="16"/>
                <w:szCs w:val="16"/>
              </w:rPr>
            </w:pPr>
            <w:r w:rsidRPr="00AC7279">
              <w:rPr>
                <w:rFonts w:eastAsia="Times New Roman"/>
                <w:sz w:val="16"/>
                <w:szCs w:val="16"/>
              </w:rPr>
              <w:t xml:space="preserve">- </w:t>
            </w:r>
            <w:r w:rsidR="007C0998" w:rsidRPr="00AC7279">
              <w:rPr>
                <w:sz w:val="16"/>
                <w:szCs w:val="16"/>
              </w:rPr>
              <w:t>look closely at whether the additionality requirements in each method remain current</w:t>
            </w:r>
            <w:r w:rsidR="007C0998" w:rsidRPr="00AC7279" w:rsidDel="00EC2A2F">
              <w:rPr>
                <w:sz w:val="16"/>
                <w:szCs w:val="16"/>
              </w:rPr>
              <w:t xml:space="preserve"> </w:t>
            </w:r>
            <w:r w:rsidR="007C0998" w:rsidRPr="00AC7279">
              <w:rPr>
                <w:sz w:val="16"/>
                <w:szCs w:val="16"/>
              </w:rPr>
              <w:t>over time.</w:t>
            </w:r>
          </w:p>
        </w:tc>
        <w:tc>
          <w:tcPr>
            <w:tcW w:w="2542" w:type="dxa"/>
            <w:gridSpan w:val="2"/>
          </w:tcPr>
          <w:p w14:paraId="6BE4E56C" w14:textId="77777777" w:rsidR="007C0998" w:rsidRPr="00AC7279" w:rsidRDefault="007C0998" w:rsidP="009C33DE">
            <w:pPr>
              <w:rPr>
                <w:sz w:val="16"/>
                <w:szCs w:val="16"/>
              </w:rPr>
            </w:pPr>
            <w:r w:rsidRPr="00AC7279">
              <w:rPr>
                <w:sz w:val="16"/>
                <w:szCs w:val="16"/>
              </w:rPr>
              <w:t>Part of existing ERAC costs.</w:t>
            </w:r>
          </w:p>
          <w:p w14:paraId="474259EB" w14:textId="77777777" w:rsidR="007C0998" w:rsidRPr="00AC7279" w:rsidRDefault="007C0998" w:rsidP="009C33DE">
            <w:pPr>
              <w:rPr>
                <w:sz w:val="16"/>
                <w:szCs w:val="16"/>
              </w:rPr>
            </w:pPr>
            <w:r w:rsidRPr="00AC7279">
              <w:rPr>
                <w:sz w:val="16"/>
                <w:szCs w:val="16"/>
              </w:rPr>
              <w:t>.</w:t>
            </w:r>
          </w:p>
        </w:tc>
        <w:tc>
          <w:tcPr>
            <w:tcW w:w="2399" w:type="dxa"/>
          </w:tcPr>
          <w:p w14:paraId="5780659C" w14:textId="22B530C2" w:rsidR="007C0998" w:rsidRPr="00AC7279" w:rsidRDefault="007C0998" w:rsidP="009C33DE">
            <w:pPr>
              <w:rPr>
                <w:sz w:val="16"/>
                <w:szCs w:val="16"/>
              </w:rPr>
            </w:pPr>
            <w:r w:rsidRPr="00AC7279">
              <w:rPr>
                <w:sz w:val="16"/>
                <w:szCs w:val="16"/>
              </w:rPr>
              <w:t>Could improve integrity of emissions reductions and provide better value for tax payer funds.</w:t>
            </w:r>
          </w:p>
          <w:p w14:paraId="73C6F852" w14:textId="77777777" w:rsidR="007C0998" w:rsidRPr="00AC7279" w:rsidRDefault="007C0998" w:rsidP="009C33DE">
            <w:pPr>
              <w:rPr>
                <w:sz w:val="16"/>
                <w:szCs w:val="16"/>
              </w:rPr>
            </w:pPr>
          </w:p>
        </w:tc>
        <w:tc>
          <w:tcPr>
            <w:tcW w:w="2400" w:type="dxa"/>
          </w:tcPr>
          <w:p w14:paraId="33315C26" w14:textId="77777777" w:rsidR="007C0998" w:rsidRPr="00AC7279" w:rsidRDefault="007C0998" w:rsidP="009C33DE">
            <w:pPr>
              <w:rPr>
                <w:sz w:val="16"/>
                <w:szCs w:val="16"/>
              </w:rPr>
            </w:pPr>
            <w:r w:rsidRPr="00AC7279" w:rsidDel="00642817">
              <w:rPr>
                <w:sz w:val="16"/>
                <w:szCs w:val="16"/>
              </w:rPr>
              <w:t xml:space="preserve">Ensures </w:t>
            </w:r>
            <w:r w:rsidRPr="00AC7279">
              <w:rPr>
                <w:sz w:val="16"/>
                <w:szCs w:val="16"/>
              </w:rPr>
              <w:t>integrity of emissions reductions.</w:t>
            </w:r>
          </w:p>
          <w:p w14:paraId="07A8E91D" w14:textId="77777777" w:rsidR="007C0998" w:rsidRPr="00AC7279" w:rsidRDefault="007C0998" w:rsidP="009C33DE">
            <w:pPr>
              <w:rPr>
                <w:sz w:val="16"/>
                <w:szCs w:val="16"/>
              </w:rPr>
            </w:pPr>
          </w:p>
        </w:tc>
        <w:tc>
          <w:tcPr>
            <w:tcW w:w="2117" w:type="dxa"/>
          </w:tcPr>
          <w:p w14:paraId="76039FB3" w14:textId="77777777" w:rsidR="007C0998" w:rsidRPr="00AC7279" w:rsidRDefault="007C0998" w:rsidP="009C33DE">
            <w:pPr>
              <w:rPr>
                <w:sz w:val="16"/>
                <w:szCs w:val="16"/>
              </w:rPr>
            </w:pPr>
            <w:r w:rsidRPr="00AC7279">
              <w:rPr>
                <w:sz w:val="16"/>
                <w:szCs w:val="16"/>
              </w:rPr>
              <w:t>NA</w:t>
            </w:r>
          </w:p>
          <w:p w14:paraId="04128FA4" w14:textId="77777777" w:rsidR="007C0998" w:rsidRPr="00AC7279" w:rsidRDefault="007C0998" w:rsidP="009C33DE">
            <w:pPr>
              <w:rPr>
                <w:sz w:val="16"/>
                <w:szCs w:val="16"/>
              </w:rPr>
            </w:pPr>
          </w:p>
        </w:tc>
        <w:tc>
          <w:tcPr>
            <w:tcW w:w="2120" w:type="dxa"/>
          </w:tcPr>
          <w:p w14:paraId="571D328F" w14:textId="77777777" w:rsidR="007C0998" w:rsidRPr="00AC7279" w:rsidRDefault="007C0998" w:rsidP="009C33DE">
            <w:pPr>
              <w:rPr>
                <w:sz w:val="16"/>
                <w:szCs w:val="16"/>
              </w:rPr>
            </w:pPr>
            <w:r w:rsidRPr="00AC7279">
              <w:rPr>
                <w:sz w:val="16"/>
                <w:szCs w:val="16"/>
              </w:rPr>
              <w:t>Existing process</w:t>
            </w:r>
          </w:p>
          <w:p w14:paraId="162989B1" w14:textId="77777777" w:rsidR="007C0998" w:rsidRPr="00AC7279" w:rsidRDefault="007C0998" w:rsidP="009C33DE">
            <w:pPr>
              <w:rPr>
                <w:sz w:val="16"/>
                <w:szCs w:val="16"/>
              </w:rPr>
            </w:pPr>
          </w:p>
        </w:tc>
      </w:tr>
    </w:tbl>
    <w:p w14:paraId="1B670F6A" w14:textId="77777777" w:rsidR="009C33DE" w:rsidRPr="005206CA" w:rsidRDefault="009C33DE">
      <w:pPr>
        <w:sectPr w:rsidR="009C33DE" w:rsidRPr="005206CA" w:rsidSect="003C5733">
          <w:headerReference w:type="first" r:id="rId37"/>
          <w:pgSz w:w="16838" w:h="11906" w:orient="landscape"/>
          <w:pgMar w:top="1418" w:right="1418" w:bottom="1276" w:left="567" w:header="425" w:footer="425" w:gutter="0"/>
          <w:cols w:space="708"/>
          <w:titlePg/>
          <w:docGrid w:linePitch="360"/>
        </w:sectPr>
      </w:pPr>
    </w:p>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9C33DE" w:rsidRPr="005206CA" w14:paraId="5ADEBA17" w14:textId="77777777" w:rsidTr="0033387E">
        <w:trPr>
          <w:cnfStyle w:val="100000000000" w:firstRow="1" w:lastRow="0" w:firstColumn="0" w:lastColumn="0" w:oddVBand="0" w:evenVBand="0" w:oddHBand="0" w:evenHBand="0" w:firstRowFirstColumn="0" w:firstRowLastColumn="0" w:lastRowFirstColumn="0" w:lastRowLastColumn="0"/>
          <w:trHeight w:val="170"/>
        </w:trPr>
        <w:tc>
          <w:tcPr>
            <w:tcW w:w="805" w:type="dxa"/>
            <w:vMerge w:val="restart"/>
            <w:shd w:val="clear" w:color="auto" w:fill="159DCE"/>
          </w:tcPr>
          <w:p w14:paraId="52F47DD4" w14:textId="4A58ED7F" w:rsidR="009C33DE" w:rsidRPr="005206CA" w:rsidRDefault="009C33DE" w:rsidP="009C33DE">
            <w:pPr>
              <w:rPr>
                <w:b/>
                <w:sz w:val="16"/>
                <w:szCs w:val="16"/>
              </w:rPr>
            </w:pPr>
          </w:p>
        </w:tc>
        <w:tc>
          <w:tcPr>
            <w:tcW w:w="2724" w:type="dxa"/>
            <w:vMerge w:val="restart"/>
            <w:shd w:val="clear" w:color="auto" w:fill="159DCE"/>
            <w:vAlign w:val="center"/>
          </w:tcPr>
          <w:p w14:paraId="088C0CA7" w14:textId="2E395B5D" w:rsidR="009C33DE" w:rsidRPr="005206CA" w:rsidRDefault="009C33DE"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70480755" w14:textId="77777777" w:rsidR="009C33DE" w:rsidRPr="005206CA" w:rsidRDefault="009C33DE"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2292DFD4" w14:textId="073AA7E7" w:rsidR="009C33DE" w:rsidRPr="005206CA" w:rsidRDefault="009C33DE" w:rsidP="00AC7279">
            <w:pPr>
              <w:spacing w:after="0"/>
              <w:rPr>
                <w:sz w:val="16"/>
                <w:szCs w:val="16"/>
              </w:rPr>
            </w:pPr>
          </w:p>
        </w:tc>
        <w:tc>
          <w:tcPr>
            <w:tcW w:w="2400" w:type="dxa"/>
            <w:vMerge w:val="restart"/>
            <w:shd w:val="clear" w:color="auto" w:fill="159DCE"/>
            <w:vAlign w:val="center"/>
          </w:tcPr>
          <w:p w14:paraId="77A187ED" w14:textId="72B728C8" w:rsidR="009C33DE" w:rsidRPr="005206CA" w:rsidRDefault="009C33DE"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0AE88CFB" w14:textId="77A475C4" w:rsidR="009C33DE" w:rsidRPr="005206CA" w:rsidRDefault="009C33DE"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167532A8" w14:textId="7D3E8543" w:rsidR="009C33DE" w:rsidRPr="005206CA" w:rsidRDefault="009C33DE" w:rsidP="00AC7279">
            <w:pPr>
              <w:spacing w:after="0"/>
              <w:rPr>
                <w:sz w:val="16"/>
                <w:szCs w:val="16"/>
              </w:rPr>
            </w:pPr>
            <w:r w:rsidRPr="005206CA">
              <w:rPr>
                <w:b/>
                <w:color w:val="FFFFFF" w:themeColor="background1"/>
                <w:sz w:val="16"/>
                <w:szCs w:val="16"/>
              </w:rPr>
              <w:t>IMPLEMENTATION PROCESS</w:t>
            </w:r>
          </w:p>
        </w:tc>
      </w:tr>
      <w:tr w:rsidR="009C33DE" w:rsidRPr="005206CA" w14:paraId="10067DA9" w14:textId="77777777" w:rsidTr="0033387E">
        <w:trPr>
          <w:cnfStyle w:val="000000100000" w:firstRow="0" w:lastRow="0" w:firstColumn="0" w:lastColumn="0" w:oddVBand="0" w:evenVBand="0" w:oddHBand="1" w:evenHBand="0" w:firstRowFirstColumn="0" w:firstRowLastColumn="0" w:lastRowFirstColumn="0" w:lastRowLastColumn="0"/>
          <w:trHeight w:val="285"/>
        </w:trPr>
        <w:tc>
          <w:tcPr>
            <w:tcW w:w="805" w:type="dxa"/>
            <w:vMerge/>
            <w:shd w:val="clear" w:color="auto" w:fill="159DCE"/>
          </w:tcPr>
          <w:p w14:paraId="6F43B82B" w14:textId="77777777" w:rsidR="009C33DE" w:rsidRPr="005206CA" w:rsidRDefault="009C33DE" w:rsidP="009C33DE">
            <w:pPr>
              <w:rPr>
                <w:b/>
                <w:sz w:val="16"/>
                <w:szCs w:val="16"/>
              </w:rPr>
            </w:pPr>
          </w:p>
        </w:tc>
        <w:tc>
          <w:tcPr>
            <w:tcW w:w="2724" w:type="dxa"/>
            <w:vMerge/>
            <w:shd w:val="clear" w:color="auto" w:fill="159DCE"/>
            <w:vAlign w:val="center"/>
          </w:tcPr>
          <w:p w14:paraId="13FD4BB3" w14:textId="77777777" w:rsidR="009C33DE" w:rsidRPr="005206CA" w:rsidRDefault="009C33DE" w:rsidP="009C33DE">
            <w:pPr>
              <w:rPr>
                <w:b/>
                <w:color w:val="FFFFFF" w:themeColor="background1"/>
                <w:sz w:val="16"/>
                <w:szCs w:val="16"/>
              </w:rPr>
            </w:pPr>
          </w:p>
        </w:tc>
        <w:tc>
          <w:tcPr>
            <w:tcW w:w="2470" w:type="dxa"/>
            <w:shd w:val="clear" w:color="auto" w:fill="159DCE"/>
            <w:vAlign w:val="center"/>
          </w:tcPr>
          <w:p w14:paraId="2AA4D03E" w14:textId="3B7AB153" w:rsidR="009C33DE" w:rsidRPr="005206CA" w:rsidRDefault="009C33DE"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774DD217" w14:textId="6D42EC93" w:rsidR="009C33DE" w:rsidRPr="005206CA" w:rsidRDefault="009C33DE"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7F81A1CE" w14:textId="77777777" w:rsidR="009C33DE" w:rsidRPr="005206CA" w:rsidRDefault="009C33DE" w:rsidP="009C33DE">
            <w:pPr>
              <w:rPr>
                <w:b/>
                <w:color w:val="FFFFFF" w:themeColor="background1"/>
                <w:sz w:val="16"/>
                <w:szCs w:val="16"/>
              </w:rPr>
            </w:pPr>
          </w:p>
        </w:tc>
        <w:tc>
          <w:tcPr>
            <w:tcW w:w="2117" w:type="dxa"/>
            <w:vMerge/>
            <w:shd w:val="clear" w:color="auto" w:fill="159DCE"/>
            <w:vAlign w:val="center"/>
          </w:tcPr>
          <w:p w14:paraId="2B2959F1" w14:textId="77777777" w:rsidR="009C33DE" w:rsidRPr="005206CA" w:rsidRDefault="009C33DE" w:rsidP="009C33DE">
            <w:pPr>
              <w:rPr>
                <w:b/>
                <w:color w:val="FFFFFF" w:themeColor="background1"/>
                <w:sz w:val="16"/>
                <w:szCs w:val="16"/>
              </w:rPr>
            </w:pPr>
          </w:p>
        </w:tc>
        <w:tc>
          <w:tcPr>
            <w:tcW w:w="2120" w:type="dxa"/>
            <w:vMerge/>
            <w:shd w:val="clear" w:color="auto" w:fill="159DCE"/>
            <w:vAlign w:val="center"/>
          </w:tcPr>
          <w:p w14:paraId="6C6C4100" w14:textId="77777777" w:rsidR="009C33DE" w:rsidRPr="005206CA" w:rsidRDefault="009C33DE" w:rsidP="009C33DE">
            <w:pPr>
              <w:rPr>
                <w:b/>
                <w:color w:val="FFFFFF" w:themeColor="background1"/>
                <w:sz w:val="16"/>
                <w:szCs w:val="16"/>
              </w:rPr>
            </w:pPr>
          </w:p>
        </w:tc>
      </w:tr>
      <w:tr w:rsidR="009C33DE" w:rsidRPr="005206CA" w14:paraId="07D8078B"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16D4F99A" w14:textId="1FFCC00C" w:rsidR="00024D18" w:rsidRPr="00AC7279" w:rsidRDefault="00A60FB2" w:rsidP="009C33DE">
            <w:pPr>
              <w:rPr>
                <w:b/>
                <w:sz w:val="16"/>
                <w:szCs w:val="16"/>
              </w:rPr>
            </w:pPr>
            <w:r w:rsidRPr="00AC7279">
              <w:rPr>
                <w:b/>
                <w:sz w:val="16"/>
                <w:szCs w:val="16"/>
              </w:rPr>
              <w:fldChar w:fldCharType="begin"/>
            </w:r>
            <w:r w:rsidRPr="00AC7279">
              <w:rPr>
                <w:b/>
                <w:sz w:val="16"/>
                <w:szCs w:val="16"/>
              </w:rPr>
              <w:instrText xml:space="preserve"> REF _Ref499897329 \h </w:instrText>
            </w:r>
            <w:r w:rsidR="009C33DE" w:rsidRPr="005206CA">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6</w:t>
            </w:r>
            <w:r w:rsidRPr="00AC7279">
              <w:rPr>
                <w:b/>
                <w:sz w:val="16"/>
                <w:szCs w:val="16"/>
              </w:rPr>
              <w:fldChar w:fldCharType="end"/>
            </w:r>
          </w:p>
        </w:tc>
        <w:tc>
          <w:tcPr>
            <w:tcW w:w="2724" w:type="dxa"/>
          </w:tcPr>
          <w:p w14:paraId="0378353B" w14:textId="456FA109" w:rsidR="00F140CC" w:rsidRPr="00AC7279" w:rsidRDefault="00024D18" w:rsidP="009C33DE">
            <w:pPr>
              <w:rPr>
                <w:sz w:val="16"/>
                <w:szCs w:val="16"/>
              </w:rPr>
            </w:pPr>
            <w:r w:rsidRPr="00AC7279">
              <w:rPr>
                <w:sz w:val="16"/>
                <w:szCs w:val="16"/>
              </w:rPr>
              <w:t xml:space="preserve">Require prospective </w:t>
            </w:r>
            <w:r w:rsidR="002B7B1D">
              <w:rPr>
                <w:sz w:val="16"/>
                <w:szCs w:val="16"/>
              </w:rPr>
              <w:t xml:space="preserve">scheme </w:t>
            </w:r>
            <w:r w:rsidRPr="00AC7279">
              <w:rPr>
                <w:sz w:val="16"/>
                <w:szCs w:val="16"/>
              </w:rPr>
              <w:t xml:space="preserve">participants to include a plan for maintaining carbon stores </w:t>
            </w:r>
            <w:r w:rsidR="007C0998" w:rsidRPr="00AC7279">
              <w:rPr>
                <w:sz w:val="16"/>
                <w:szCs w:val="16"/>
              </w:rPr>
              <w:t>when registering</w:t>
            </w:r>
            <w:r w:rsidRPr="00AC7279">
              <w:rPr>
                <w:sz w:val="16"/>
                <w:szCs w:val="16"/>
              </w:rPr>
              <w:t xml:space="preserve"> sequestration projects.</w:t>
            </w:r>
          </w:p>
        </w:tc>
        <w:tc>
          <w:tcPr>
            <w:tcW w:w="2542" w:type="dxa"/>
            <w:gridSpan w:val="2"/>
          </w:tcPr>
          <w:p w14:paraId="359ED953" w14:textId="4B0B0F5B" w:rsidR="00024D18" w:rsidRPr="00AC7279" w:rsidRDefault="00024D18" w:rsidP="009C33DE">
            <w:pPr>
              <w:rPr>
                <w:sz w:val="16"/>
                <w:szCs w:val="16"/>
              </w:rPr>
            </w:pPr>
            <w:r w:rsidRPr="00AC7279">
              <w:rPr>
                <w:sz w:val="16"/>
                <w:szCs w:val="16"/>
              </w:rPr>
              <w:t xml:space="preserve">Increases project registration and reporting costs for CER and transaction costs for </w:t>
            </w:r>
            <w:r w:rsidR="002B7B1D">
              <w:rPr>
                <w:sz w:val="16"/>
                <w:szCs w:val="16"/>
              </w:rPr>
              <w:t xml:space="preserve">scheme </w:t>
            </w:r>
            <w:r w:rsidRPr="00AC7279">
              <w:rPr>
                <w:sz w:val="16"/>
                <w:szCs w:val="16"/>
              </w:rPr>
              <w:t>participants.</w:t>
            </w:r>
          </w:p>
        </w:tc>
        <w:tc>
          <w:tcPr>
            <w:tcW w:w="2399" w:type="dxa"/>
          </w:tcPr>
          <w:p w14:paraId="2A04042B" w14:textId="77777777" w:rsidR="00024D18" w:rsidRPr="00AC7279" w:rsidRDefault="00D81FC8" w:rsidP="009C33DE">
            <w:pPr>
              <w:rPr>
                <w:sz w:val="16"/>
                <w:szCs w:val="16"/>
              </w:rPr>
            </w:pPr>
            <w:r w:rsidRPr="00AC7279">
              <w:rPr>
                <w:sz w:val="16"/>
                <w:szCs w:val="16"/>
              </w:rPr>
              <w:t>Enhances scheme</w:t>
            </w:r>
            <w:r w:rsidR="00024D18" w:rsidRPr="00AC7279">
              <w:rPr>
                <w:sz w:val="16"/>
                <w:szCs w:val="16"/>
              </w:rPr>
              <w:t xml:space="preserve"> participants</w:t>
            </w:r>
            <w:r w:rsidRPr="00AC7279">
              <w:rPr>
                <w:sz w:val="16"/>
                <w:szCs w:val="16"/>
              </w:rPr>
              <w:t>’</w:t>
            </w:r>
            <w:r w:rsidR="00024D18" w:rsidRPr="00AC7279">
              <w:rPr>
                <w:sz w:val="16"/>
                <w:szCs w:val="16"/>
              </w:rPr>
              <w:t xml:space="preserve"> understanding of risks and obligations associated with permanence. May reduce participant’s costs in future if management to maintain carbon is more cost effective than replacing lost carbon. </w:t>
            </w:r>
          </w:p>
          <w:p w14:paraId="7720B63E" w14:textId="77777777" w:rsidR="00024D18" w:rsidRPr="00AC7279" w:rsidRDefault="00024D18" w:rsidP="009C33DE">
            <w:pPr>
              <w:rPr>
                <w:sz w:val="16"/>
                <w:szCs w:val="16"/>
              </w:rPr>
            </w:pPr>
            <w:r w:rsidRPr="00AC7279">
              <w:rPr>
                <w:sz w:val="16"/>
                <w:szCs w:val="16"/>
              </w:rPr>
              <w:t>Could lead to a net reduction in administrative costs for CER if it leads to less compliance action as result of reduced reversals.</w:t>
            </w:r>
          </w:p>
        </w:tc>
        <w:tc>
          <w:tcPr>
            <w:tcW w:w="2400" w:type="dxa"/>
          </w:tcPr>
          <w:p w14:paraId="3CFC5372" w14:textId="77777777" w:rsidR="00024D18" w:rsidRPr="00AC7279" w:rsidRDefault="00024D18" w:rsidP="009C33DE">
            <w:pPr>
              <w:rPr>
                <w:sz w:val="16"/>
                <w:szCs w:val="16"/>
              </w:rPr>
            </w:pPr>
            <w:r w:rsidRPr="00AC7279">
              <w:rPr>
                <w:sz w:val="16"/>
                <w:szCs w:val="16"/>
              </w:rPr>
              <w:t>Could increase the likelihood that the sequestration is maintained over time.</w:t>
            </w:r>
          </w:p>
        </w:tc>
        <w:tc>
          <w:tcPr>
            <w:tcW w:w="2117" w:type="dxa"/>
          </w:tcPr>
          <w:p w14:paraId="371A1E0C" w14:textId="77777777" w:rsidR="00024D18" w:rsidRPr="00AC7279" w:rsidRDefault="00024D18" w:rsidP="009C33DE">
            <w:pPr>
              <w:rPr>
                <w:sz w:val="16"/>
                <w:szCs w:val="16"/>
              </w:rPr>
            </w:pPr>
            <w:r w:rsidRPr="00AC7279">
              <w:rPr>
                <w:sz w:val="16"/>
                <w:szCs w:val="16"/>
              </w:rPr>
              <w:t>Treats new entrants differently to incumbents.</w:t>
            </w:r>
          </w:p>
        </w:tc>
        <w:tc>
          <w:tcPr>
            <w:tcW w:w="2120" w:type="dxa"/>
          </w:tcPr>
          <w:p w14:paraId="7FFF7FD5" w14:textId="0D338C8F" w:rsidR="00024D18" w:rsidRPr="00AC7279" w:rsidRDefault="00BA471C" w:rsidP="009C33DE">
            <w:pPr>
              <w:rPr>
                <w:sz w:val="16"/>
                <w:szCs w:val="16"/>
              </w:rPr>
            </w:pPr>
            <w:r w:rsidRPr="00AC7279">
              <w:rPr>
                <w:sz w:val="16"/>
                <w:szCs w:val="16"/>
              </w:rPr>
              <w:t>Minister m</w:t>
            </w:r>
            <w:r w:rsidR="00F140CC" w:rsidRPr="00AC7279">
              <w:rPr>
                <w:sz w:val="16"/>
                <w:szCs w:val="16"/>
              </w:rPr>
              <w:t xml:space="preserve">ake </w:t>
            </w:r>
            <w:r w:rsidR="00024D18" w:rsidRPr="00AC7279">
              <w:rPr>
                <w:sz w:val="16"/>
                <w:szCs w:val="16"/>
              </w:rPr>
              <w:t xml:space="preserve">legislative rule </w:t>
            </w:r>
            <w:r w:rsidR="003376C4">
              <w:rPr>
                <w:sz w:val="16"/>
                <w:szCs w:val="16"/>
              </w:rPr>
              <w:t>(</w:t>
            </w:r>
            <w:r w:rsidR="00024D18" w:rsidRPr="00AC7279">
              <w:rPr>
                <w:sz w:val="16"/>
                <w:szCs w:val="16"/>
              </w:rPr>
              <w:t>currently under consideration)</w:t>
            </w:r>
          </w:p>
        </w:tc>
      </w:tr>
      <w:tr w:rsidR="009C33DE" w:rsidRPr="005206CA" w14:paraId="58DF54AD"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05A60809" w14:textId="12CD63B8"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_Ref497827629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7</w:t>
            </w:r>
            <w:r w:rsidRPr="00AC7279">
              <w:rPr>
                <w:b/>
                <w:sz w:val="16"/>
                <w:szCs w:val="16"/>
              </w:rPr>
              <w:fldChar w:fldCharType="end"/>
            </w:r>
          </w:p>
        </w:tc>
        <w:tc>
          <w:tcPr>
            <w:tcW w:w="2724" w:type="dxa"/>
          </w:tcPr>
          <w:p w14:paraId="4D8EFF03" w14:textId="77777777" w:rsidR="00024D18" w:rsidRPr="00AC7279" w:rsidRDefault="00024D18" w:rsidP="009C33DE">
            <w:pPr>
              <w:rPr>
                <w:sz w:val="16"/>
                <w:szCs w:val="16"/>
              </w:rPr>
            </w:pPr>
            <w:r w:rsidRPr="00AC7279">
              <w:rPr>
                <w:sz w:val="16"/>
                <w:szCs w:val="16"/>
              </w:rPr>
              <w:t xml:space="preserve">Require fire management plans for sequestration </w:t>
            </w:r>
            <w:r w:rsidR="00E01598" w:rsidRPr="00AC7279">
              <w:rPr>
                <w:sz w:val="16"/>
                <w:szCs w:val="16"/>
              </w:rPr>
              <w:t>and savanna fire projects.</w:t>
            </w:r>
          </w:p>
        </w:tc>
        <w:tc>
          <w:tcPr>
            <w:tcW w:w="2542" w:type="dxa"/>
            <w:gridSpan w:val="2"/>
          </w:tcPr>
          <w:p w14:paraId="01D9E358" w14:textId="2F3A6FA0" w:rsidR="00024D18" w:rsidRPr="00AC7279" w:rsidRDefault="00024D18" w:rsidP="009C33DE">
            <w:pPr>
              <w:rPr>
                <w:sz w:val="16"/>
                <w:szCs w:val="16"/>
              </w:rPr>
            </w:pPr>
            <w:r w:rsidRPr="00AC7279">
              <w:rPr>
                <w:sz w:val="16"/>
                <w:szCs w:val="16"/>
              </w:rPr>
              <w:t>Increases administrative costs for CER and transaction costs for</w:t>
            </w:r>
            <w:r w:rsidRPr="005206CA">
              <w:rPr>
                <w:sz w:val="16"/>
                <w:szCs w:val="16"/>
              </w:rPr>
              <w:t xml:space="preserve"> </w:t>
            </w:r>
            <w:r w:rsidR="002B7B1D">
              <w:rPr>
                <w:sz w:val="16"/>
                <w:szCs w:val="16"/>
              </w:rPr>
              <w:t>scheme</w:t>
            </w:r>
            <w:r w:rsidRPr="00AC7279">
              <w:rPr>
                <w:sz w:val="16"/>
                <w:szCs w:val="16"/>
              </w:rPr>
              <w:t xml:space="preserve"> participants.</w:t>
            </w:r>
          </w:p>
        </w:tc>
        <w:tc>
          <w:tcPr>
            <w:tcW w:w="2399" w:type="dxa"/>
          </w:tcPr>
          <w:p w14:paraId="1EF364DD" w14:textId="08A16E61" w:rsidR="00024D18" w:rsidRPr="00AC7279" w:rsidRDefault="00024D18" w:rsidP="009C33DE">
            <w:pPr>
              <w:rPr>
                <w:sz w:val="16"/>
                <w:szCs w:val="16"/>
              </w:rPr>
            </w:pPr>
            <w:r w:rsidRPr="00AC7279">
              <w:rPr>
                <w:sz w:val="16"/>
                <w:szCs w:val="16"/>
              </w:rPr>
              <w:t xml:space="preserve">Aims to improve </w:t>
            </w:r>
            <w:r w:rsidR="006517B3">
              <w:rPr>
                <w:sz w:val="16"/>
                <w:szCs w:val="16"/>
              </w:rPr>
              <w:t>scheme</w:t>
            </w:r>
            <w:r w:rsidR="006517B3" w:rsidRPr="00AC7279">
              <w:rPr>
                <w:sz w:val="16"/>
                <w:szCs w:val="16"/>
              </w:rPr>
              <w:t xml:space="preserve"> </w:t>
            </w:r>
            <w:r w:rsidR="007E5547" w:rsidRPr="00AC7279">
              <w:rPr>
                <w:sz w:val="16"/>
                <w:szCs w:val="16"/>
              </w:rPr>
              <w:t xml:space="preserve">participants’ </w:t>
            </w:r>
            <w:r w:rsidRPr="00AC7279">
              <w:rPr>
                <w:sz w:val="16"/>
                <w:szCs w:val="16"/>
              </w:rPr>
              <w:t>approach to managing risk from fire. May reduce participant’s costs in future if fire management is more cost effective than replacing lost carbon.</w:t>
            </w:r>
          </w:p>
          <w:p w14:paraId="7A71271C" w14:textId="77777777" w:rsidR="00024D18" w:rsidRPr="00AC7279" w:rsidRDefault="00024D18" w:rsidP="009C33DE">
            <w:pPr>
              <w:rPr>
                <w:sz w:val="16"/>
                <w:szCs w:val="16"/>
              </w:rPr>
            </w:pPr>
            <w:r w:rsidRPr="00AC7279">
              <w:rPr>
                <w:sz w:val="16"/>
                <w:szCs w:val="16"/>
              </w:rPr>
              <w:t>Reduces risk for ERF and Government.</w:t>
            </w:r>
          </w:p>
        </w:tc>
        <w:tc>
          <w:tcPr>
            <w:tcW w:w="2400" w:type="dxa"/>
          </w:tcPr>
          <w:p w14:paraId="61F6502F" w14:textId="77777777" w:rsidR="00024D18" w:rsidRPr="00AC7279" w:rsidRDefault="00024D18" w:rsidP="009C33DE">
            <w:pPr>
              <w:rPr>
                <w:sz w:val="16"/>
                <w:szCs w:val="16"/>
              </w:rPr>
            </w:pPr>
            <w:r w:rsidRPr="00AC7279">
              <w:rPr>
                <w:sz w:val="16"/>
                <w:szCs w:val="16"/>
              </w:rPr>
              <w:t>Could increase the likelihood that the sequestration is maintained over time.</w:t>
            </w:r>
          </w:p>
        </w:tc>
        <w:tc>
          <w:tcPr>
            <w:tcW w:w="2117" w:type="dxa"/>
          </w:tcPr>
          <w:p w14:paraId="416F1462" w14:textId="77777777" w:rsidR="00024D18" w:rsidRPr="00AC7279" w:rsidRDefault="00024D18" w:rsidP="009C33DE">
            <w:pPr>
              <w:rPr>
                <w:sz w:val="16"/>
                <w:szCs w:val="16"/>
              </w:rPr>
            </w:pPr>
            <w:r w:rsidRPr="00AC7279">
              <w:rPr>
                <w:sz w:val="16"/>
                <w:szCs w:val="16"/>
              </w:rPr>
              <w:t>Treats new entrants differently to incumbents.</w:t>
            </w:r>
          </w:p>
        </w:tc>
        <w:tc>
          <w:tcPr>
            <w:tcW w:w="2120" w:type="dxa"/>
          </w:tcPr>
          <w:p w14:paraId="5D6DD05C" w14:textId="77777777" w:rsidR="00024D18" w:rsidRPr="00AC7279" w:rsidRDefault="00024D18" w:rsidP="009C33DE">
            <w:pPr>
              <w:rPr>
                <w:sz w:val="16"/>
                <w:szCs w:val="16"/>
              </w:rPr>
            </w:pPr>
            <w:r w:rsidRPr="00AC7279">
              <w:rPr>
                <w:sz w:val="16"/>
                <w:szCs w:val="16"/>
              </w:rPr>
              <w:t xml:space="preserve">Change to legislative rule </w:t>
            </w:r>
          </w:p>
        </w:tc>
      </w:tr>
      <w:tr w:rsidR="009C33DE" w:rsidRPr="005206CA" w14:paraId="06CDE365"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0AC06956" w14:textId="6C773453"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_Ref497827637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8</w:t>
            </w:r>
            <w:r w:rsidRPr="00AC7279">
              <w:rPr>
                <w:b/>
                <w:sz w:val="16"/>
                <w:szCs w:val="16"/>
              </w:rPr>
              <w:fldChar w:fldCharType="end"/>
            </w:r>
          </w:p>
        </w:tc>
        <w:tc>
          <w:tcPr>
            <w:tcW w:w="2724" w:type="dxa"/>
          </w:tcPr>
          <w:p w14:paraId="1295BEB8" w14:textId="4D665B78" w:rsidR="00024D18" w:rsidRPr="00AC7279" w:rsidRDefault="00024D18" w:rsidP="009C33DE">
            <w:pPr>
              <w:rPr>
                <w:sz w:val="16"/>
                <w:szCs w:val="16"/>
              </w:rPr>
            </w:pPr>
            <w:r w:rsidRPr="00AC7279">
              <w:rPr>
                <w:sz w:val="16"/>
                <w:szCs w:val="16"/>
              </w:rPr>
              <w:t xml:space="preserve">Review the definition of a significant reversal of sequestration </w:t>
            </w:r>
            <w:r w:rsidR="00BA471C" w:rsidRPr="00AC7279">
              <w:rPr>
                <w:sz w:val="16"/>
                <w:szCs w:val="16"/>
              </w:rPr>
              <w:t>to better calibrate the risk of carbon losses</w:t>
            </w:r>
            <w:r w:rsidRPr="00AC7279">
              <w:rPr>
                <w:sz w:val="16"/>
                <w:szCs w:val="16"/>
              </w:rPr>
              <w:t>.</w:t>
            </w:r>
          </w:p>
        </w:tc>
        <w:tc>
          <w:tcPr>
            <w:tcW w:w="2542" w:type="dxa"/>
            <w:gridSpan w:val="2"/>
          </w:tcPr>
          <w:p w14:paraId="15C24E58" w14:textId="77777777" w:rsidR="00024D18" w:rsidRPr="00AC7279" w:rsidRDefault="00024D18" w:rsidP="009C33DE">
            <w:pPr>
              <w:rPr>
                <w:sz w:val="16"/>
                <w:szCs w:val="16"/>
              </w:rPr>
            </w:pPr>
            <w:r w:rsidRPr="00AC7279">
              <w:rPr>
                <w:sz w:val="16"/>
                <w:szCs w:val="16"/>
              </w:rPr>
              <w:t>Small administrative cost to CER.</w:t>
            </w:r>
          </w:p>
        </w:tc>
        <w:tc>
          <w:tcPr>
            <w:tcW w:w="2399" w:type="dxa"/>
          </w:tcPr>
          <w:p w14:paraId="5A4453F8" w14:textId="77777777" w:rsidR="00024D18" w:rsidRPr="00AC7279" w:rsidRDefault="00024D18" w:rsidP="009C33DE">
            <w:pPr>
              <w:rPr>
                <w:sz w:val="16"/>
                <w:szCs w:val="16"/>
              </w:rPr>
            </w:pPr>
            <w:r w:rsidRPr="00AC7279">
              <w:rPr>
                <w:sz w:val="16"/>
                <w:szCs w:val="16"/>
              </w:rPr>
              <w:t>Could be used to better calibrate compliance arrangements to risk of reversal.</w:t>
            </w:r>
          </w:p>
        </w:tc>
        <w:tc>
          <w:tcPr>
            <w:tcW w:w="2400" w:type="dxa"/>
          </w:tcPr>
          <w:p w14:paraId="0A562E4F" w14:textId="77777777" w:rsidR="00024D18" w:rsidRPr="00AC7279" w:rsidRDefault="00024D18" w:rsidP="009C33DE">
            <w:pPr>
              <w:rPr>
                <w:sz w:val="16"/>
                <w:szCs w:val="16"/>
              </w:rPr>
            </w:pPr>
            <w:r w:rsidRPr="00AC7279">
              <w:rPr>
                <w:sz w:val="16"/>
                <w:szCs w:val="16"/>
              </w:rPr>
              <w:t>More effective arrangements for permanence could help CER better manage risk of reversal.</w:t>
            </w:r>
          </w:p>
        </w:tc>
        <w:tc>
          <w:tcPr>
            <w:tcW w:w="2117" w:type="dxa"/>
          </w:tcPr>
          <w:p w14:paraId="273B3EAE" w14:textId="77777777" w:rsidR="00024D18" w:rsidRPr="00AC7279" w:rsidRDefault="00024D18" w:rsidP="009C33DE">
            <w:pPr>
              <w:rPr>
                <w:sz w:val="16"/>
                <w:szCs w:val="16"/>
              </w:rPr>
            </w:pPr>
            <w:r w:rsidRPr="00AC7279">
              <w:rPr>
                <w:sz w:val="16"/>
                <w:szCs w:val="16"/>
              </w:rPr>
              <w:t>Treats new entrants differently to incumbents.</w:t>
            </w:r>
          </w:p>
        </w:tc>
        <w:tc>
          <w:tcPr>
            <w:tcW w:w="2120" w:type="dxa"/>
          </w:tcPr>
          <w:p w14:paraId="26E0529C" w14:textId="6ACFE8A0" w:rsidR="00024D18" w:rsidRPr="00AC7279" w:rsidRDefault="00024D18" w:rsidP="009C33DE">
            <w:pPr>
              <w:rPr>
                <w:sz w:val="16"/>
                <w:szCs w:val="16"/>
              </w:rPr>
            </w:pPr>
            <w:r w:rsidRPr="00AC7279">
              <w:rPr>
                <w:sz w:val="16"/>
                <w:szCs w:val="16"/>
              </w:rPr>
              <w:t>D</w:t>
            </w:r>
            <w:r w:rsidR="00024CAC" w:rsidRPr="00AC7279">
              <w:rPr>
                <w:sz w:val="16"/>
                <w:szCs w:val="16"/>
              </w:rPr>
              <w:t>epartment</w:t>
            </w:r>
            <w:r w:rsidRPr="00AC7279">
              <w:rPr>
                <w:sz w:val="16"/>
                <w:szCs w:val="16"/>
              </w:rPr>
              <w:t xml:space="preserve"> </w:t>
            </w:r>
          </w:p>
        </w:tc>
      </w:tr>
      <w:tr w:rsidR="009C33DE" w:rsidRPr="005206CA" w14:paraId="28CC0641"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2399606D" w14:textId="341F53FB"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_Ref497827642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9</w:t>
            </w:r>
            <w:r w:rsidRPr="00AC7279">
              <w:rPr>
                <w:b/>
                <w:sz w:val="16"/>
                <w:szCs w:val="16"/>
              </w:rPr>
              <w:fldChar w:fldCharType="end"/>
            </w:r>
          </w:p>
        </w:tc>
        <w:tc>
          <w:tcPr>
            <w:tcW w:w="2724" w:type="dxa"/>
          </w:tcPr>
          <w:p w14:paraId="4E14FB0E" w14:textId="77777777" w:rsidR="00024D18" w:rsidRPr="00AC7279" w:rsidRDefault="00024D18" w:rsidP="009C33DE">
            <w:pPr>
              <w:rPr>
                <w:sz w:val="16"/>
                <w:szCs w:val="16"/>
              </w:rPr>
            </w:pPr>
            <w:r w:rsidRPr="00AC7279">
              <w:rPr>
                <w:sz w:val="16"/>
                <w:szCs w:val="16"/>
              </w:rPr>
              <w:t>Remove the ability for a scheme participant to request that the project area be omitted from the project register.</w:t>
            </w:r>
          </w:p>
        </w:tc>
        <w:tc>
          <w:tcPr>
            <w:tcW w:w="2542" w:type="dxa"/>
            <w:gridSpan w:val="2"/>
          </w:tcPr>
          <w:p w14:paraId="15F0308A" w14:textId="77777777" w:rsidR="00024D18" w:rsidRPr="00AC7279" w:rsidRDefault="00024D18" w:rsidP="009C33DE">
            <w:pPr>
              <w:rPr>
                <w:sz w:val="16"/>
                <w:szCs w:val="16"/>
              </w:rPr>
            </w:pPr>
            <w:r w:rsidRPr="00AC7279">
              <w:rPr>
                <w:sz w:val="16"/>
                <w:szCs w:val="16"/>
              </w:rPr>
              <w:t xml:space="preserve">May reduce participation </w:t>
            </w:r>
            <w:r w:rsidR="00D81FC8" w:rsidRPr="00AC7279">
              <w:rPr>
                <w:sz w:val="16"/>
                <w:szCs w:val="16"/>
              </w:rPr>
              <w:t xml:space="preserve">to </w:t>
            </w:r>
            <w:r w:rsidRPr="00AC7279">
              <w:rPr>
                <w:sz w:val="16"/>
                <w:szCs w:val="16"/>
              </w:rPr>
              <w:t>a small degree due to confidentiality concerns.</w:t>
            </w:r>
          </w:p>
        </w:tc>
        <w:tc>
          <w:tcPr>
            <w:tcW w:w="2399" w:type="dxa"/>
          </w:tcPr>
          <w:p w14:paraId="3A82D98D" w14:textId="451C40C1" w:rsidR="00024D18" w:rsidRPr="00AC7279" w:rsidRDefault="00024D18" w:rsidP="009C33DE">
            <w:pPr>
              <w:rPr>
                <w:sz w:val="16"/>
                <w:szCs w:val="16"/>
              </w:rPr>
            </w:pPr>
            <w:r w:rsidRPr="00AC7279">
              <w:rPr>
                <w:sz w:val="16"/>
                <w:szCs w:val="16"/>
              </w:rPr>
              <w:t>Increases availability of information to future purchasers of land with a sequestration project and increases confidence that eligible interest holders are aware of projects.</w:t>
            </w:r>
          </w:p>
        </w:tc>
        <w:tc>
          <w:tcPr>
            <w:tcW w:w="2400" w:type="dxa"/>
          </w:tcPr>
          <w:p w14:paraId="48E0D1A3" w14:textId="77777777" w:rsidR="00024D18" w:rsidRPr="00AC7279" w:rsidRDefault="00024D18" w:rsidP="009C33DE">
            <w:pPr>
              <w:rPr>
                <w:sz w:val="16"/>
                <w:szCs w:val="16"/>
              </w:rPr>
            </w:pPr>
            <w:r w:rsidRPr="00AC7279">
              <w:rPr>
                <w:sz w:val="16"/>
                <w:szCs w:val="16"/>
              </w:rPr>
              <w:t>Could reduce risk of reversal to some extent by increasing the transparency of obligations on the land.</w:t>
            </w:r>
          </w:p>
          <w:p w14:paraId="73D724C4" w14:textId="77777777" w:rsidR="00024D18" w:rsidRPr="00AC7279" w:rsidRDefault="00024D18" w:rsidP="009C33DE">
            <w:pPr>
              <w:rPr>
                <w:sz w:val="16"/>
                <w:szCs w:val="16"/>
              </w:rPr>
            </w:pPr>
          </w:p>
        </w:tc>
        <w:tc>
          <w:tcPr>
            <w:tcW w:w="2117" w:type="dxa"/>
          </w:tcPr>
          <w:p w14:paraId="1FAA6924" w14:textId="77777777" w:rsidR="00024D18" w:rsidRPr="00AC7279" w:rsidRDefault="00024D18" w:rsidP="009C33DE">
            <w:pPr>
              <w:rPr>
                <w:sz w:val="16"/>
                <w:szCs w:val="16"/>
              </w:rPr>
            </w:pPr>
            <w:r w:rsidRPr="00AC7279">
              <w:rPr>
                <w:sz w:val="16"/>
                <w:szCs w:val="16"/>
              </w:rPr>
              <w:t>Improves information availability and transparency for those with interests in relevant land areas, removes ability to omit projects.</w:t>
            </w:r>
          </w:p>
        </w:tc>
        <w:tc>
          <w:tcPr>
            <w:tcW w:w="2120" w:type="dxa"/>
          </w:tcPr>
          <w:p w14:paraId="67906052" w14:textId="77777777" w:rsidR="00024D18" w:rsidRPr="00AC7279" w:rsidRDefault="00024D18" w:rsidP="009C33DE">
            <w:pPr>
              <w:rPr>
                <w:sz w:val="16"/>
                <w:szCs w:val="16"/>
              </w:rPr>
            </w:pPr>
            <w:r w:rsidRPr="00AC7279">
              <w:rPr>
                <w:sz w:val="16"/>
                <w:szCs w:val="16"/>
              </w:rPr>
              <w:t>Change to CFI Act</w:t>
            </w:r>
          </w:p>
        </w:tc>
      </w:tr>
    </w:tbl>
    <w:p w14:paraId="6DDB8A06" w14:textId="77777777" w:rsidR="009C33DE" w:rsidRPr="005206CA" w:rsidRDefault="009C33DE"/>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9C33DE" w:rsidRPr="005206CA" w14:paraId="6DAF4398" w14:textId="77777777" w:rsidTr="0033387E">
        <w:trPr>
          <w:cnfStyle w:val="100000000000" w:firstRow="1" w:lastRow="0" w:firstColumn="0" w:lastColumn="0" w:oddVBand="0" w:evenVBand="0" w:oddHBand="0" w:evenHBand="0" w:firstRowFirstColumn="0" w:firstRowLastColumn="0" w:lastRowFirstColumn="0" w:lastRowLastColumn="0"/>
          <w:trHeight w:val="113"/>
        </w:trPr>
        <w:tc>
          <w:tcPr>
            <w:tcW w:w="805" w:type="dxa"/>
            <w:vMerge w:val="restart"/>
            <w:shd w:val="clear" w:color="auto" w:fill="159DCE"/>
          </w:tcPr>
          <w:p w14:paraId="37F6EBF6" w14:textId="5EC04CED" w:rsidR="009C33DE" w:rsidRPr="005206CA" w:rsidRDefault="009C33DE" w:rsidP="009C33DE">
            <w:pPr>
              <w:rPr>
                <w:b/>
                <w:sz w:val="16"/>
                <w:szCs w:val="16"/>
              </w:rPr>
            </w:pPr>
          </w:p>
        </w:tc>
        <w:tc>
          <w:tcPr>
            <w:tcW w:w="2724" w:type="dxa"/>
            <w:vMerge w:val="restart"/>
            <w:shd w:val="clear" w:color="auto" w:fill="159DCE"/>
            <w:vAlign w:val="center"/>
          </w:tcPr>
          <w:p w14:paraId="16C706B3" w14:textId="22B597AF" w:rsidR="009C33DE" w:rsidRPr="005206CA" w:rsidRDefault="009C33DE"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5D37BABC" w14:textId="77777777" w:rsidR="009C33DE" w:rsidRPr="005206CA" w:rsidRDefault="009C33DE"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23257E1F" w14:textId="070B7297" w:rsidR="009C33DE" w:rsidRPr="005206CA" w:rsidRDefault="009C33DE" w:rsidP="00AC7279">
            <w:pPr>
              <w:spacing w:after="0"/>
              <w:rPr>
                <w:sz w:val="16"/>
                <w:szCs w:val="16"/>
              </w:rPr>
            </w:pPr>
          </w:p>
        </w:tc>
        <w:tc>
          <w:tcPr>
            <w:tcW w:w="2400" w:type="dxa"/>
            <w:vMerge w:val="restart"/>
            <w:shd w:val="clear" w:color="auto" w:fill="159DCE"/>
            <w:vAlign w:val="center"/>
          </w:tcPr>
          <w:p w14:paraId="706438CF" w14:textId="393BAEB9" w:rsidR="009C33DE" w:rsidRPr="005206CA" w:rsidRDefault="009C33DE"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4FE45D53" w14:textId="41AAC60D" w:rsidR="009C33DE" w:rsidRPr="005206CA" w:rsidRDefault="009C33DE"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06DD2A5F" w14:textId="288A5A8B" w:rsidR="009C33DE" w:rsidRPr="005206CA" w:rsidRDefault="009C33DE" w:rsidP="00AC7279">
            <w:pPr>
              <w:spacing w:after="0"/>
              <w:rPr>
                <w:sz w:val="16"/>
                <w:szCs w:val="16"/>
              </w:rPr>
            </w:pPr>
            <w:r w:rsidRPr="005206CA">
              <w:rPr>
                <w:b/>
                <w:color w:val="FFFFFF" w:themeColor="background1"/>
                <w:sz w:val="16"/>
                <w:szCs w:val="16"/>
              </w:rPr>
              <w:t>IMPLEMENTATION PROCESS</w:t>
            </w:r>
          </w:p>
        </w:tc>
      </w:tr>
      <w:tr w:rsidR="009C33DE" w:rsidRPr="005206CA" w14:paraId="72E377CE" w14:textId="77777777" w:rsidTr="0033387E">
        <w:trPr>
          <w:cnfStyle w:val="000000100000" w:firstRow="0" w:lastRow="0" w:firstColumn="0" w:lastColumn="0" w:oddVBand="0" w:evenVBand="0" w:oddHBand="1" w:evenHBand="0" w:firstRowFirstColumn="0" w:firstRowLastColumn="0" w:lastRowFirstColumn="0" w:lastRowLastColumn="0"/>
          <w:trHeight w:val="285"/>
        </w:trPr>
        <w:tc>
          <w:tcPr>
            <w:tcW w:w="805" w:type="dxa"/>
            <w:vMerge/>
            <w:shd w:val="clear" w:color="auto" w:fill="159DCE"/>
          </w:tcPr>
          <w:p w14:paraId="67C8DE3A" w14:textId="77777777" w:rsidR="009C33DE" w:rsidRPr="005206CA" w:rsidRDefault="009C33DE" w:rsidP="009C33DE">
            <w:pPr>
              <w:rPr>
                <w:b/>
                <w:sz w:val="16"/>
                <w:szCs w:val="16"/>
              </w:rPr>
            </w:pPr>
          </w:p>
        </w:tc>
        <w:tc>
          <w:tcPr>
            <w:tcW w:w="2724" w:type="dxa"/>
            <w:vMerge/>
            <w:shd w:val="clear" w:color="auto" w:fill="159DCE"/>
            <w:vAlign w:val="center"/>
          </w:tcPr>
          <w:p w14:paraId="20024A76" w14:textId="77777777" w:rsidR="009C33DE" w:rsidRPr="005206CA" w:rsidRDefault="009C33DE" w:rsidP="009C33DE">
            <w:pPr>
              <w:rPr>
                <w:b/>
                <w:color w:val="FFFFFF" w:themeColor="background1"/>
                <w:sz w:val="16"/>
                <w:szCs w:val="16"/>
              </w:rPr>
            </w:pPr>
          </w:p>
        </w:tc>
        <w:tc>
          <w:tcPr>
            <w:tcW w:w="2470" w:type="dxa"/>
            <w:shd w:val="clear" w:color="auto" w:fill="159DCE"/>
            <w:vAlign w:val="center"/>
          </w:tcPr>
          <w:p w14:paraId="2C64B1D7" w14:textId="1FFD7F2B" w:rsidR="009C33DE" w:rsidRPr="005206CA" w:rsidRDefault="009C33DE"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12EF6038" w14:textId="75D8FA0B" w:rsidR="009C33DE" w:rsidRPr="005206CA" w:rsidRDefault="009C33DE"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044B0589" w14:textId="77777777" w:rsidR="009C33DE" w:rsidRPr="005206CA" w:rsidRDefault="009C33DE" w:rsidP="009C33DE">
            <w:pPr>
              <w:rPr>
                <w:b/>
                <w:color w:val="FFFFFF" w:themeColor="background1"/>
                <w:sz w:val="16"/>
                <w:szCs w:val="16"/>
              </w:rPr>
            </w:pPr>
          </w:p>
        </w:tc>
        <w:tc>
          <w:tcPr>
            <w:tcW w:w="2117" w:type="dxa"/>
            <w:vMerge/>
            <w:shd w:val="clear" w:color="auto" w:fill="159DCE"/>
            <w:vAlign w:val="center"/>
          </w:tcPr>
          <w:p w14:paraId="4D200D4B" w14:textId="77777777" w:rsidR="009C33DE" w:rsidRPr="005206CA" w:rsidRDefault="009C33DE" w:rsidP="009C33DE">
            <w:pPr>
              <w:rPr>
                <w:b/>
                <w:color w:val="FFFFFF" w:themeColor="background1"/>
                <w:sz w:val="16"/>
                <w:szCs w:val="16"/>
              </w:rPr>
            </w:pPr>
          </w:p>
        </w:tc>
        <w:tc>
          <w:tcPr>
            <w:tcW w:w="2120" w:type="dxa"/>
            <w:vMerge/>
            <w:shd w:val="clear" w:color="auto" w:fill="159DCE"/>
            <w:vAlign w:val="center"/>
          </w:tcPr>
          <w:p w14:paraId="61AADCBF" w14:textId="77777777" w:rsidR="009C33DE" w:rsidRPr="005206CA" w:rsidRDefault="009C33DE" w:rsidP="009C33DE">
            <w:pPr>
              <w:rPr>
                <w:b/>
                <w:color w:val="FFFFFF" w:themeColor="background1"/>
                <w:sz w:val="16"/>
                <w:szCs w:val="16"/>
              </w:rPr>
            </w:pPr>
          </w:p>
        </w:tc>
      </w:tr>
      <w:tr w:rsidR="009C33DE" w:rsidRPr="005206CA" w14:paraId="29CEE027"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3618A4A2" w14:textId="30E59987" w:rsidR="00024D18" w:rsidRPr="00AC7279" w:rsidRDefault="00301DC7" w:rsidP="009C33DE">
            <w:pPr>
              <w:rPr>
                <w:b/>
                <w:sz w:val="16"/>
                <w:szCs w:val="16"/>
              </w:rPr>
            </w:pPr>
            <w:r w:rsidRPr="00AC7279">
              <w:rPr>
                <w:b/>
                <w:sz w:val="16"/>
                <w:szCs w:val="16"/>
              </w:rPr>
              <w:fldChar w:fldCharType="begin"/>
            </w:r>
            <w:r w:rsidRPr="00AC7279">
              <w:rPr>
                <w:b/>
                <w:sz w:val="16"/>
                <w:szCs w:val="16"/>
              </w:rPr>
              <w:instrText xml:space="preserve"> REF _Ref497827646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10</w:t>
            </w:r>
            <w:r w:rsidRPr="00AC7279">
              <w:rPr>
                <w:b/>
                <w:sz w:val="16"/>
                <w:szCs w:val="16"/>
              </w:rPr>
              <w:fldChar w:fldCharType="end"/>
            </w:r>
          </w:p>
        </w:tc>
        <w:tc>
          <w:tcPr>
            <w:tcW w:w="2724" w:type="dxa"/>
          </w:tcPr>
          <w:p w14:paraId="6A70BD74" w14:textId="77777777" w:rsidR="00024D18" w:rsidRPr="00AC7279" w:rsidRDefault="00024D18" w:rsidP="009C33DE">
            <w:pPr>
              <w:rPr>
                <w:sz w:val="16"/>
                <w:szCs w:val="16"/>
              </w:rPr>
            </w:pPr>
            <w:r w:rsidRPr="00AC7279">
              <w:rPr>
                <w:sz w:val="16"/>
                <w:szCs w:val="16"/>
              </w:rPr>
              <w:t>The CER include on their website</w:t>
            </w:r>
            <w:r w:rsidR="00E01598" w:rsidRPr="00AC7279">
              <w:rPr>
                <w:sz w:val="16"/>
                <w:szCs w:val="16"/>
              </w:rPr>
              <w:t xml:space="preserve"> a </w:t>
            </w:r>
            <w:r w:rsidRPr="00AC7279">
              <w:rPr>
                <w:sz w:val="16"/>
                <w:szCs w:val="16"/>
              </w:rPr>
              <w:t>search function for ERF projects based on individual properties.</w:t>
            </w:r>
          </w:p>
        </w:tc>
        <w:tc>
          <w:tcPr>
            <w:tcW w:w="2542" w:type="dxa"/>
            <w:gridSpan w:val="2"/>
          </w:tcPr>
          <w:p w14:paraId="02210CD8" w14:textId="77777777" w:rsidR="00024D18" w:rsidRPr="00AC7279" w:rsidRDefault="00024D18" w:rsidP="009C33DE">
            <w:pPr>
              <w:rPr>
                <w:sz w:val="16"/>
                <w:szCs w:val="16"/>
              </w:rPr>
            </w:pPr>
            <w:r w:rsidRPr="00AC7279">
              <w:rPr>
                <w:sz w:val="16"/>
                <w:szCs w:val="16"/>
              </w:rPr>
              <w:t>Increases administrative costs for CER.</w:t>
            </w:r>
          </w:p>
        </w:tc>
        <w:tc>
          <w:tcPr>
            <w:tcW w:w="2399" w:type="dxa"/>
          </w:tcPr>
          <w:p w14:paraId="48F67E0E" w14:textId="67ED050D" w:rsidR="00024D18" w:rsidRPr="00AC7279" w:rsidRDefault="00024D18" w:rsidP="009C33DE">
            <w:pPr>
              <w:rPr>
                <w:sz w:val="16"/>
                <w:szCs w:val="16"/>
              </w:rPr>
            </w:pPr>
            <w:r w:rsidRPr="00AC7279">
              <w:rPr>
                <w:sz w:val="16"/>
                <w:szCs w:val="16"/>
              </w:rPr>
              <w:t>Increases availability of information to future purchasers of land with a sequestration project and increases confidence that eligible interest holders are aware of projects.</w:t>
            </w:r>
          </w:p>
        </w:tc>
        <w:tc>
          <w:tcPr>
            <w:tcW w:w="2400" w:type="dxa"/>
          </w:tcPr>
          <w:p w14:paraId="334EB2C9" w14:textId="77777777" w:rsidR="00024D18" w:rsidRPr="00AC7279" w:rsidRDefault="00024D18" w:rsidP="009C33DE">
            <w:pPr>
              <w:rPr>
                <w:sz w:val="16"/>
                <w:szCs w:val="16"/>
              </w:rPr>
            </w:pPr>
            <w:r w:rsidRPr="00AC7279">
              <w:rPr>
                <w:sz w:val="16"/>
                <w:szCs w:val="16"/>
              </w:rPr>
              <w:t>Could reduce risk of reversal to some extent by increasing the transparency of obligations on the land.</w:t>
            </w:r>
          </w:p>
          <w:p w14:paraId="6D2D8F60" w14:textId="77777777" w:rsidR="00024D18" w:rsidRPr="00AC7279" w:rsidRDefault="00024D18" w:rsidP="009C33DE">
            <w:pPr>
              <w:rPr>
                <w:sz w:val="16"/>
                <w:szCs w:val="16"/>
              </w:rPr>
            </w:pPr>
          </w:p>
          <w:p w14:paraId="07E24539" w14:textId="77777777" w:rsidR="00024D18" w:rsidRPr="00AC7279" w:rsidRDefault="00024D18" w:rsidP="009C33DE">
            <w:pPr>
              <w:rPr>
                <w:sz w:val="16"/>
                <w:szCs w:val="16"/>
              </w:rPr>
            </w:pPr>
          </w:p>
        </w:tc>
        <w:tc>
          <w:tcPr>
            <w:tcW w:w="2117" w:type="dxa"/>
          </w:tcPr>
          <w:p w14:paraId="0E864C30" w14:textId="77777777" w:rsidR="00024D18" w:rsidRPr="00AC7279" w:rsidRDefault="00024D18" w:rsidP="009C33DE">
            <w:pPr>
              <w:rPr>
                <w:sz w:val="16"/>
                <w:szCs w:val="16"/>
              </w:rPr>
            </w:pPr>
            <w:r w:rsidRPr="00AC7279">
              <w:rPr>
                <w:sz w:val="16"/>
                <w:szCs w:val="16"/>
              </w:rPr>
              <w:t>Improves information availability and transparency for those with interests in relevant land areas.</w:t>
            </w:r>
          </w:p>
        </w:tc>
        <w:tc>
          <w:tcPr>
            <w:tcW w:w="2120" w:type="dxa"/>
          </w:tcPr>
          <w:p w14:paraId="512594EB" w14:textId="77777777" w:rsidR="00024D18" w:rsidRPr="00AC7279" w:rsidRDefault="00024D18" w:rsidP="009C33DE">
            <w:pPr>
              <w:rPr>
                <w:sz w:val="16"/>
                <w:szCs w:val="16"/>
              </w:rPr>
            </w:pPr>
            <w:r w:rsidRPr="00AC7279">
              <w:rPr>
                <w:sz w:val="16"/>
                <w:szCs w:val="16"/>
              </w:rPr>
              <w:t>CER</w:t>
            </w:r>
          </w:p>
        </w:tc>
      </w:tr>
      <w:tr w:rsidR="009C33DE" w:rsidRPr="005206CA" w14:paraId="36FF1A24"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0079F769" w14:textId="733FA59C" w:rsidR="00024D18" w:rsidRPr="00AC7279" w:rsidRDefault="008E3F0C" w:rsidP="009C33DE">
            <w:pPr>
              <w:rPr>
                <w:b/>
                <w:sz w:val="16"/>
                <w:szCs w:val="16"/>
              </w:rPr>
            </w:pPr>
            <w:r w:rsidRPr="00AC7279">
              <w:rPr>
                <w:b/>
                <w:sz w:val="16"/>
                <w:szCs w:val="16"/>
              </w:rPr>
              <w:fldChar w:fldCharType="begin"/>
            </w:r>
            <w:r w:rsidRPr="00AC7279">
              <w:rPr>
                <w:b/>
                <w:sz w:val="16"/>
                <w:szCs w:val="16"/>
              </w:rPr>
              <w:instrText xml:space="preserve"> REF _Ref497827901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11</w:t>
            </w:r>
            <w:r w:rsidRPr="00AC7279">
              <w:rPr>
                <w:b/>
                <w:sz w:val="16"/>
                <w:szCs w:val="16"/>
              </w:rPr>
              <w:fldChar w:fldCharType="end"/>
            </w:r>
          </w:p>
        </w:tc>
        <w:tc>
          <w:tcPr>
            <w:tcW w:w="2724" w:type="dxa"/>
          </w:tcPr>
          <w:p w14:paraId="6215364F" w14:textId="77777777" w:rsidR="00024D18" w:rsidRPr="00AC7279" w:rsidRDefault="00024D18" w:rsidP="009C33DE">
            <w:pPr>
              <w:rPr>
                <w:sz w:val="16"/>
                <w:szCs w:val="16"/>
              </w:rPr>
            </w:pPr>
            <w:r w:rsidRPr="00AC7279">
              <w:rPr>
                <w:sz w:val="16"/>
                <w:szCs w:val="16"/>
              </w:rPr>
              <w:t xml:space="preserve">Develop guidance for conveyancers and state and territory legal societies on permanence obligations </w:t>
            </w:r>
            <w:r w:rsidR="00E01598" w:rsidRPr="00AC7279">
              <w:rPr>
                <w:sz w:val="16"/>
                <w:szCs w:val="16"/>
              </w:rPr>
              <w:t xml:space="preserve">that run with </w:t>
            </w:r>
            <w:r w:rsidRPr="00AC7279">
              <w:rPr>
                <w:sz w:val="16"/>
                <w:szCs w:val="16"/>
              </w:rPr>
              <w:t>the land.</w:t>
            </w:r>
          </w:p>
        </w:tc>
        <w:tc>
          <w:tcPr>
            <w:tcW w:w="2542" w:type="dxa"/>
            <w:gridSpan w:val="2"/>
          </w:tcPr>
          <w:p w14:paraId="62D15342" w14:textId="77777777" w:rsidR="00024D18" w:rsidRPr="00AC7279" w:rsidRDefault="00024D18" w:rsidP="009C33DE">
            <w:pPr>
              <w:rPr>
                <w:sz w:val="16"/>
                <w:szCs w:val="16"/>
              </w:rPr>
            </w:pPr>
            <w:r w:rsidRPr="00AC7279">
              <w:rPr>
                <w:sz w:val="16"/>
                <w:szCs w:val="16"/>
              </w:rPr>
              <w:t>Increases administrative costs for CER.</w:t>
            </w:r>
          </w:p>
        </w:tc>
        <w:tc>
          <w:tcPr>
            <w:tcW w:w="2399" w:type="dxa"/>
          </w:tcPr>
          <w:p w14:paraId="1373F920" w14:textId="77777777" w:rsidR="00024D18" w:rsidRPr="00AC7279" w:rsidRDefault="00024D18" w:rsidP="009C33DE">
            <w:pPr>
              <w:rPr>
                <w:sz w:val="16"/>
                <w:szCs w:val="16"/>
              </w:rPr>
            </w:pPr>
            <w:r w:rsidRPr="00AC7279">
              <w:rPr>
                <w:sz w:val="16"/>
                <w:szCs w:val="16"/>
              </w:rPr>
              <w:t xml:space="preserve">Increases availability of information to future purchasers of land with a sequestration project so they have better knowledge of costs and risks to property values over time. </w:t>
            </w:r>
          </w:p>
        </w:tc>
        <w:tc>
          <w:tcPr>
            <w:tcW w:w="2400" w:type="dxa"/>
          </w:tcPr>
          <w:p w14:paraId="6328F48C" w14:textId="77777777" w:rsidR="00024D18" w:rsidRPr="00AC7279" w:rsidRDefault="00024D18" w:rsidP="009C33DE">
            <w:pPr>
              <w:rPr>
                <w:sz w:val="16"/>
                <w:szCs w:val="16"/>
              </w:rPr>
            </w:pPr>
            <w:r w:rsidRPr="00AC7279">
              <w:rPr>
                <w:sz w:val="16"/>
                <w:szCs w:val="16"/>
              </w:rPr>
              <w:t>Could reduce risk of reversal to some extent by increasing the transparency of obligations on the land.</w:t>
            </w:r>
          </w:p>
          <w:p w14:paraId="353A9A58" w14:textId="77777777" w:rsidR="00024D18" w:rsidRPr="00AC7279" w:rsidRDefault="00024D18" w:rsidP="009C33DE">
            <w:pPr>
              <w:rPr>
                <w:sz w:val="16"/>
                <w:szCs w:val="16"/>
              </w:rPr>
            </w:pPr>
          </w:p>
        </w:tc>
        <w:tc>
          <w:tcPr>
            <w:tcW w:w="2117" w:type="dxa"/>
          </w:tcPr>
          <w:p w14:paraId="243FE2A2" w14:textId="77777777" w:rsidR="00024D18" w:rsidRPr="00AC7279" w:rsidRDefault="00024D18" w:rsidP="009C33DE">
            <w:pPr>
              <w:rPr>
                <w:sz w:val="16"/>
                <w:szCs w:val="16"/>
              </w:rPr>
            </w:pPr>
            <w:r w:rsidRPr="00AC7279">
              <w:rPr>
                <w:sz w:val="16"/>
                <w:szCs w:val="16"/>
              </w:rPr>
              <w:t>Improves information availability and transparency for potential purchasers of land.</w:t>
            </w:r>
          </w:p>
        </w:tc>
        <w:tc>
          <w:tcPr>
            <w:tcW w:w="2120" w:type="dxa"/>
          </w:tcPr>
          <w:p w14:paraId="41E63153" w14:textId="77777777" w:rsidR="00024D18" w:rsidRPr="00AC7279" w:rsidRDefault="00024D18" w:rsidP="009C33DE">
            <w:pPr>
              <w:rPr>
                <w:sz w:val="16"/>
                <w:szCs w:val="16"/>
              </w:rPr>
            </w:pPr>
            <w:r w:rsidRPr="00AC7279">
              <w:rPr>
                <w:sz w:val="16"/>
                <w:szCs w:val="16"/>
              </w:rPr>
              <w:t>CER</w:t>
            </w:r>
          </w:p>
        </w:tc>
      </w:tr>
      <w:tr w:rsidR="009C33DE" w:rsidRPr="005206CA" w14:paraId="3D572017"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0D267FB7" w14:textId="3E605A0F" w:rsidR="00024D18" w:rsidRPr="00AC7279" w:rsidRDefault="00E557DB" w:rsidP="009C33DE">
            <w:pPr>
              <w:rPr>
                <w:b/>
                <w:sz w:val="16"/>
                <w:szCs w:val="16"/>
              </w:rPr>
            </w:pPr>
            <w:r w:rsidRPr="00AC7279">
              <w:rPr>
                <w:sz w:val="16"/>
                <w:szCs w:val="16"/>
              </w:rPr>
              <w:fldChar w:fldCharType="begin"/>
            </w:r>
            <w:r w:rsidRPr="00AC7279">
              <w:rPr>
                <w:sz w:val="16"/>
                <w:szCs w:val="16"/>
              </w:rPr>
              <w:instrText xml:space="preserve"> REF _Ref497827914 \h </w:instrText>
            </w:r>
            <w:r w:rsidR="009C33DE" w:rsidRPr="005206CA">
              <w:rPr>
                <w:sz w:val="16"/>
                <w:szCs w:val="16"/>
              </w:rPr>
              <w:instrText xml:space="preserve"> \* MERGEFORMAT </w:instrText>
            </w:r>
            <w:r w:rsidRPr="00AC7279">
              <w:rPr>
                <w:sz w:val="16"/>
                <w:szCs w:val="16"/>
              </w:rPr>
            </w:r>
            <w:r w:rsidRPr="00AC7279">
              <w:rPr>
                <w:sz w:val="16"/>
                <w:szCs w:val="16"/>
              </w:rPr>
              <w:fldChar w:fldCharType="separate"/>
            </w:r>
            <w:r w:rsidR="00FA2002" w:rsidRPr="00FA2002">
              <w:rPr>
                <w:rFonts w:cs="Arial"/>
                <w:sz w:val="16"/>
                <w:szCs w:val="16"/>
              </w:rPr>
              <w:t xml:space="preserve">R. </w:t>
            </w:r>
            <w:r w:rsidR="00FA2002" w:rsidRPr="00FA2002">
              <w:rPr>
                <w:rFonts w:cs="Arial"/>
                <w:noProof/>
                <w:sz w:val="16"/>
                <w:szCs w:val="16"/>
              </w:rPr>
              <w:t>12</w:t>
            </w:r>
            <w:r w:rsidRPr="00AC7279">
              <w:rPr>
                <w:sz w:val="16"/>
                <w:szCs w:val="16"/>
              </w:rPr>
              <w:fldChar w:fldCharType="end"/>
            </w:r>
          </w:p>
        </w:tc>
        <w:tc>
          <w:tcPr>
            <w:tcW w:w="2724" w:type="dxa"/>
          </w:tcPr>
          <w:p w14:paraId="18FE4728" w14:textId="77777777" w:rsidR="00C82DAE" w:rsidRPr="00AC7279" w:rsidRDefault="00024D18" w:rsidP="009C33DE">
            <w:pPr>
              <w:rPr>
                <w:sz w:val="16"/>
                <w:szCs w:val="16"/>
              </w:rPr>
            </w:pPr>
            <w:r w:rsidRPr="00AC7279">
              <w:rPr>
                <w:sz w:val="16"/>
                <w:szCs w:val="16"/>
              </w:rPr>
              <w:t>Review the</w:t>
            </w:r>
            <w:r w:rsidR="00C82DAE" w:rsidRPr="00AC7279">
              <w:rPr>
                <w:sz w:val="16"/>
                <w:szCs w:val="16"/>
              </w:rPr>
              <w:t>:</w:t>
            </w:r>
          </w:p>
          <w:p w14:paraId="6DFC7B6E" w14:textId="65B90ED9" w:rsidR="00E01598" w:rsidRPr="00AC7279" w:rsidRDefault="00C82DAE" w:rsidP="009C33DE">
            <w:pPr>
              <w:rPr>
                <w:sz w:val="16"/>
                <w:szCs w:val="16"/>
              </w:rPr>
            </w:pPr>
            <w:r w:rsidRPr="00AC7279">
              <w:rPr>
                <w:sz w:val="16"/>
                <w:szCs w:val="16"/>
              </w:rPr>
              <w:t xml:space="preserve">- </w:t>
            </w:r>
            <w:r w:rsidR="00024D18" w:rsidRPr="00AC7279">
              <w:rPr>
                <w:sz w:val="16"/>
                <w:szCs w:val="16"/>
              </w:rPr>
              <w:t>risk of reversal buffer</w:t>
            </w:r>
            <w:r w:rsidR="00DC4BF1" w:rsidRPr="00AC7279">
              <w:rPr>
                <w:sz w:val="16"/>
                <w:szCs w:val="16"/>
              </w:rPr>
              <w:t xml:space="preserve"> and</w:t>
            </w:r>
          </w:p>
          <w:p w14:paraId="0A182A1E" w14:textId="77777777" w:rsidR="00024D18" w:rsidRPr="00AC7279" w:rsidRDefault="00C82DAE" w:rsidP="009C33DE">
            <w:pPr>
              <w:rPr>
                <w:sz w:val="16"/>
                <w:szCs w:val="16"/>
              </w:rPr>
            </w:pPr>
            <w:r w:rsidRPr="00AC7279">
              <w:rPr>
                <w:sz w:val="16"/>
                <w:szCs w:val="16"/>
              </w:rPr>
              <w:t xml:space="preserve">- </w:t>
            </w:r>
            <w:r w:rsidR="00E01598" w:rsidRPr="00AC7279">
              <w:rPr>
                <w:sz w:val="16"/>
                <w:szCs w:val="16"/>
              </w:rPr>
              <w:t>the permanence period discount.</w:t>
            </w:r>
          </w:p>
        </w:tc>
        <w:tc>
          <w:tcPr>
            <w:tcW w:w="2542" w:type="dxa"/>
            <w:gridSpan w:val="2"/>
          </w:tcPr>
          <w:p w14:paraId="5C147DD0" w14:textId="77777777" w:rsidR="00024D18" w:rsidRPr="00AC7279" w:rsidRDefault="00E01598" w:rsidP="009C33DE">
            <w:pPr>
              <w:rPr>
                <w:sz w:val="16"/>
                <w:szCs w:val="16"/>
              </w:rPr>
            </w:pPr>
            <w:r w:rsidRPr="00AC7279">
              <w:rPr>
                <w:sz w:val="16"/>
                <w:szCs w:val="16"/>
              </w:rPr>
              <w:t>Increases costs for the Authority.</w:t>
            </w:r>
          </w:p>
        </w:tc>
        <w:tc>
          <w:tcPr>
            <w:tcW w:w="2399" w:type="dxa"/>
          </w:tcPr>
          <w:p w14:paraId="192B8841" w14:textId="77777777" w:rsidR="00024D18" w:rsidRPr="00AC7279" w:rsidRDefault="00E01598" w:rsidP="009C33DE">
            <w:pPr>
              <w:rPr>
                <w:sz w:val="16"/>
                <w:szCs w:val="16"/>
              </w:rPr>
            </w:pPr>
            <w:r w:rsidRPr="00AC7279">
              <w:rPr>
                <w:sz w:val="16"/>
                <w:szCs w:val="16"/>
              </w:rPr>
              <w:t>Assists Government in understanding the risks of reversal.</w:t>
            </w:r>
          </w:p>
        </w:tc>
        <w:tc>
          <w:tcPr>
            <w:tcW w:w="2400" w:type="dxa"/>
          </w:tcPr>
          <w:p w14:paraId="3616EA79" w14:textId="77777777" w:rsidR="00024D18" w:rsidRPr="00AC7279" w:rsidRDefault="00E01598" w:rsidP="009C33DE">
            <w:pPr>
              <w:rPr>
                <w:sz w:val="16"/>
                <w:szCs w:val="16"/>
              </w:rPr>
            </w:pPr>
            <w:r w:rsidRPr="00AC7279">
              <w:rPr>
                <w:sz w:val="16"/>
                <w:szCs w:val="16"/>
              </w:rPr>
              <w:t>Could lead to better management of the risk of reversal across the scheme.</w:t>
            </w:r>
          </w:p>
        </w:tc>
        <w:tc>
          <w:tcPr>
            <w:tcW w:w="2117" w:type="dxa"/>
          </w:tcPr>
          <w:p w14:paraId="282DFB07" w14:textId="77777777" w:rsidR="00024D18" w:rsidRPr="00AC7279" w:rsidRDefault="00E01598" w:rsidP="009C33DE">
            <w:pPr>
              <w:rPr>
                <w:sz w:val="16"/>
                <w:szCs w:val="16"/>
              </w:rPr>
            </w:pPr>
            <w:r w:rsidRPr="00AC7279">
              <w:rPr>
                <w:sz w:val="16"/>
                <w:szCs w:val="16"/>
              </w:rPr>
              <w:t>NA</w:t>
            </w:r>
          </w:p>
        </w:tc>
        <w:tc>
          <w:tcPr>
            <w:tcW w:w="2120" w:type="dxa"/>
          </w:tcPr>
          <w:p w14:paraId="0703F192" w14:textId="77777777" w:rsidR="00024D18" w:rsidRPr="00AC7279" w:rsidRDefault="00024D18" w:rsidP="009C33DE">
            <w:pPr>
              <w:rPr>
                <w:sz w:val="16"/>
                <w:szCs w:val="16"/>
              </w:rPr>
            </w:pPr>
            <w:r w:rsidRPr="00AC7279">
              <w:rPr>
                <w:sz w:val="16"/>
                <w:szCs w:val="16"/>
              </w:rPr>
              <w:t xml:space="preserve">CCA </w:t>
            </w:r>
          </w:p>
        </w:tc>
      </w:tr>
      <w:tr w:rsidR="009C33DE" w:rsidRPr="005206CA" w14:paraId="6719BE9A"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5276F915" w14:textId="6BC13C25" w:rsidR="00024D18" w:rsidRPr="00AC7279" w:rsidRDefault="008E3F0C" w:rsidP="009C33DE">
            <w:pPr>
              <w:rPr>
                <w:b/>
                <w:sz w:val="16"/>
                <w:szCs w:val="16"/>
              </w:rPr>
            </w:pPr>
            <w:r w:rsidRPr="00AC7279">
              <w:rPr>
                <w:b/>
                <w:sz w:val="16"/>
                <w:szCs w:val="16"/>
              </w:rPr>
              <w:fldChar w:fldCharType="begin"/>
            </w:r>
            <w:r w:rsidRPr="00AC7279">
              <w:rPr>
                <w:b/>
                <w:sz w:val="16"/>
                <w:szCs w:val="16"/>
              </w:rPr>
              <w:instrText xml:space="preserve"> REF _Ref497827920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13</w:t>
            </w:r>
            <w:r w:rsidRPr="00AC7279">
              <w:rPr>
                <w:b/>
                <w:sz w:val="16"/>
                <w:szCs w:val="16"/>
              </w:rPr>
              <w:fldChar w:fldCharType="end"/>
            </w:r>
          </w:p>
        </w:tc>
        <w:tc>
          <w:tcPr>
            <w:tcW w:w="2724" w:type="dxa"/>
          </w:tcPr>
          <w:p w14:paraId="393E7598" w14:textId="77777777" w:rsidR="00024D18" w:rsidRPr="00AC7279" w:rsidRDefault="00024D18" w:rsidP="009C33DE">
            <w:pPr>
              <w:rPr>
                <w:sz w:val="16"/>
                <w:szCs w:val="16"/>
              </w:rPr>
            </w:pPr>
            <w:r w:rsidRPr="00AC7279">
              <w:rPr>
                <w:sz w:val="16"/>
                <w:szCs w:val="16"/>
              </w:rPr>
              <w:t xml:space="preserve">Require ERF scheme participants to notify CER of individuals </w:t>
            </w:r>
            <w:r w:rsidR="00E01598" w:rsidRPr="00AC7279">
              <w:rPr>
                <w:sz w:val="16"/>
                <w:szCs w:val="16"/>
              </w:rPr>
              <w:t>and</w:t>
            </w:r>
            <w:r w:rsidRPr="00AC7279">
              <w:rPr>
                <w:sz w:val="16"/>
                <w:szCs w:val="16"/>
              </w:rPr>
              <w:t xml:space="preserve"> firms that </w:t>
            </w:r>
            <w:r w:rsidR="006E66F3" w:rsidRPr="00AC7279">
              <w:rPr>
                <w:sz w:val="16"/>
                <w:szCs w:val="16"/>
              </w:rPr>
              <w:t xml:space="preserve">they paid to </w:t>
            </w:r>
            <w:r w:rsidRPr="00AC7279">
              <w:rPr>
                <w:sz w:val="16"/>
                <w:szCs w:val="16"/>
              </w:rPr>
              <w:t>provide them with advice.</w:t>
            </w:r>
          </w:p>
          <w:p w14:paraId="2C320F54" w14:textId="77777777" w:rsidR="00024D18" w:rsidRPr="00AC7279" w:rsidDel="00EC2A2F" w:rsidRDefault="00024D18" w:rsidP="009C33DE">
            <w:pPr>
              <w:rPr>
                <w:sz w:val="16"/>
                <w:szCs w:val="16"/>
              </w:rPr>
            </w:pPr>
          </w:p>
        </w:tc>
        <w:tc>
          <w:tcPr>
            <w:tcW w:w="2542" w:type="dxa"/>
            <w:gridSpan w:val="2"/>
          </w:tcPr>
          <w:p w14:paraId="1782CB75" w14:textId="60C02692" w:rsidR="00024D18" w:rsidRPr="00AC7279" w:rsidRDefault="00024D18" w:rsidP="009C33DE">
            <w:pPr>
              <w:rPr>
                <w:sz w:val="16"/>
                <w:szCs w:val="16"/>
              </w:rPr>
            </w:pPr>
            <w:r w:rsidRPr="00AC7279">
              <w:rPr>
                <w:sz w:val="16"/>
                <w:szCs w:val="16"/>
              </w:rPr>
              <w:t>Small increases in transaction costs for</w:t>
            </w:r>
            <w:r w:rsidRPr="005206CA">
              <w:rPr>
                <w:sz w:val="16"/>
                <w:szCs w:val="16"/>
              </w:rPr>
              <w:t xml:space="preserve"> </w:t>
            </w:r>
            <w:r w:rsidR="002B7B1D">
              <w:rPr>
                <w:sz w:val="16"/>
                <w:szCs w:val="16"/>
              </w:rPr>
              <w:t>scheme</w:t>
            </w:r>
            <w:r w:rsidRPr="00AC7279">
              <w:rPr>
                <w:sz w:val="16"/>
                <w:szCs w:val="16"/>
              </w:rPr>
              <w:t xml:space="preserve"> participants.</w:t>
            </w:r>
          </w:p>
        </w:tc>
        <w:tc>
          <w:tcPr>
            <w:tcW w:w="2399" w:type="dxa"/>
          </w:tcPr>
          <w:p w14:paraId="0FC3F4FD" w14:textId="77777777" w:rsidR="00024D18" w:rsidRPr="00AC7279" w:rsidRDefault="00024D18" w:rsidP="009C33DE">
            <w:pPr>
              <w:rPr>
                <w:sz w:val="16"/>
                <w:szCs w:val="16"/>
              </w:rPr>
            </w:pPr>
            <w:r w:rsidRPr="00AC7279">
              <w:rPr>
                <w:sz w:val="16"/>
                <w:szCs w:val="16"/>
              </w:rPr>
              <w:t>Could enhance CER intelligence gathering and improve scheme compliance.</w:t>
            </w:r>
          </w:p>
          <w:p w14:paraId="6B9A4B33" w14:textId="77777777" w:rsidR="00024D18" w:rsidRPr="00AC7279" w:rsidRDefault="00024D18" w:rsidP="009C33DE">
            <w:pPr>
              <w:rPr>
                <w:sz w:val="16"/>
                <w:szCs w:val="16"/>
              </w:rPr>
            </w:pPr>
          </w:p>
        </w:tc>
        <w:tc>
          <w:tcPr>
            <w:tcW w:w="2400" w:type="dxa"/>
          </w:tcPr>
          <w:p w14:paraId="1943D3B3" w14:textId="77777777" w:rsidR="00024D18" w:rsidRPr="00AC7279" w:rsidRDefault="00024D18" w:rsidP="009C33DE">
            <w:pPr>
              <w:rPr>
                <w:sz w:val="16"/>
                <w:szCs w:val="16"/>
              </w:rPr>
            </w:pPr>
            <w:r w:rsidRPr="00AC7279">
              <w:rPr>
                <w:sz w:val="16"/>
                <w:szCs w:val="16"/>
              </w:rPr>
              <w:t>Could improve environmental effectiveness of the scheme by strengthening compliance.</w:t>
            </w:r>
          </w:p>
        </w:tc>
        <w:tc>
          <w:tcPr>
            <w:tcW w:w="2117" w:type="dxa"/>
          </w:tcPr>
          <w:p w14:paraId="5A1D2A5B" w14:textId="77777777" w:rsidR="00024D18" w:rsidRPr="00AC7279" w:rsidRDefault="00024D18" w:rsidP="009C33DE">
            <w:pPr>
              <w:rPr>
                <w:sz w:val="16"/>
                <w:szCs w:val="16"/>
              </w:rPr>
            </w:pPr>
            <w:r w:rsidRPr="00AC7279">
              <w:rPr>
                <w:sz w:val="16"/>
                <w:szCs w:val="16"/>
              </w:rPr>
              <w:t>Creates a more level playing field for scheme participants that abide by ERF rules.</w:t>
            </w:r>
          </w:p>
          <w:p w14:paraId="2BEEC4F8" w14:textId="77777777" w:rsidR="00024D18" w:rsidRPr="00AC7279" w:rsidRDefault="00024D18" w:rsidP="009C33DE">
            <w:pPr>
              <w:rPr>
                <w:sz w:val="16"/>
                <w:szCs w:val="16"/>
              </w:rPr>
            </w:pPr>
            <w:r w:rsidRPr="00AC7279">
              <w:rPr>
                <w:sz w:val="16"/>
                <w:szCs w:val="16"/>
              </w:rPr>
              <w:t xml:space="preserve">Reduces risk of unscrupulous scheme advisers. </w:t>
            </w:r>
          </w:p>
        </w:tc>
        <w:tc>
          <w:tcPr>
            <w:tcW w:w="2120" w:type="dxa"/>
          </w:tcPr>
          <w:p w14:paraId="020724C1" w14:textId="77777777" w:rsidR="00024D18" w:rsidRPr="00AC7279" w:rsidRDefault="00024D18" w:rsidP="009C33DE">
            <w:pPr>
              <w:rPr>
                <w:sz w:val="16"/>
                <w:szCs w:val="16"/>
              </w:rPr>
            </w:pPr>
            <w:r w:rsidRPr="00AC7279">
              <w:rPr>
                <w:sz w:val="16"/>
                <w:szCs w:val="16"/>
              </w:rPr>
              <w:t>Change to legislative rule</w:t>
            </w:r>
          </w:p>
        </w:tc>
      </w:tr>
      <w:tr w:rsidR="009C33DE" w:rsidRPr="005206CA" w14:paraId="20983B84"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61B20684" w14:textId="6F2D35A0" w:rsidR="00024D18" w:rsidRPr="00AC7279" w:rsidRDefault="008E3F0C" w:rsidP="009C33DE">
            <w:pPr>
              <w:rPr>
                <w:b/>
                <w:sz w:val="16"/>
                <w:szCs w:val="16"/>
              </w:rPr>
            </w:pPr>
            <w:r w:rsidRPr="00AC7279">
              <w:rPr>
                <w:b/>
                <w:sz w:val="16"/>
                <w:szCs w:val="16"/>
              </w:rPr>
              <w:fldChar w:fldCharType="begin"/>
            </w:r>
            <w:r w:rsidRPr="00AC7279">
              <w:rPr>
                <w:b/>
                <w:sz w:val="16"/>
                <w:szCs w:val="16"/>
              </w:rPr>
              <w:instrText xml:space="preserve"> REF _Ref497827929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14</w:t>
            </w:r>
            <w:r w:rsidRPr="00AC7279">
              <w:rPr>
                <w:b/>
                <w:sz w:val="16"/>
                <w:szCs w:val="16"/>
              </w:rPr>
              <w:fldChar w:fldCharType="end"/>
            </w:r>
          </w:p>
        </w:tc>
        <w:tc>
          <w:tcPr>
            <w:tcW w:w="2724" w:type="dxa"/>
          </w:tcPr>
          <w:p w14:paraId="05B0EE5E" w14:textId="4BB70786" w:rsidR="00024D18" w:rsidRPr="00AC7279" w:rsidRDefault="00024D18" w:rsidP="009C33DE">
            <w:pPr>
              <w:rPr>
                <w:sz w:val="16"/>
                <w:szCs w:val="16"/>
              </w:rPr>
            </w:pPr>
            <w:r w:rsidRPr="00AC7279">
              <w:rPr>
                <w:sz w:val="16"/>
                <w:szCs w:val="16"/>
              </w:rPr>
              <w:t xml:space="preserve">Extend the </w:t>
            </w:r>
            <w:r w:rsidR="00CF0ECD">
              <w:rPr>
                <w:sz w:val="16"/>
                <w:szCs w:val="16"/>
              </w:rPr>
              <w:t>F</w:t>
            </w:r>
            <w:r w:rsidRPr="00AC7279">
              <w:rPr>
                <w:sz w:val="16"/>
                <w:szCs w:val="16"/>
              </w:rPr>
              <w:t xml:space="preserve">it and </w:t>
            </w:r>
            <w:r w:rsidR="00CF0ECD">
              <w:rPr>
                <w:sz w:val="16"/>
                <w:szCs w:val="16"/>
              </w:rPr>
              <w:t>P</w:t>
            </w:r>
            <w:r w:rsidR="00CF0ECD" w:rsidRPr="00AC7279">
              <w:rPr>
                <w:sz w:val="16"/>
                <w:szCs w:val="16"/>
              </w:rPr>
              <w:t xml:space="preserve">roper </w:t>
            </w:r>
            <w:r w:rsidR="00CF0ECD">
              <w:rPr>
                <w:sz w:val="16"/>
                <w:szCs w:val="16"/>
              </w:rPr>
              <w:t>P</w:t>
            </w:r>
            <w:r w:rsidR="00CF0ECD" w:rsidRPr="00AC7279">
              <w:rPr>
                <w:sz w:val="16"/>
                <w:szCs w:val="16"/>
              </w:rPr>
              <w:t xml:space="preserve">erson </w:t>
            </w:r>
            <w:r w:rsidRPr="00AC7279">
              <w:rPr>
                <w:sz w:val="16"/>
                <w:szCs w:val="16"/>
              </w:rPr>
              <w:t xml:space="preserve">test to apply to </w:t>
            </w:r>
            <w:r w:rsidR="00A42496" w:rsidRPr="00AC7279">
              <w:rPr>
                <w:sz w:val="16"/>
                <w:szCs w:val="16"/>
              </w:rPr>
              <w:t>designated</w:t>
            </w:r>
            <w:r w:rsidRPr="00AC7279">
              <w:rPr>
                <w:sz w:val="16"/>
                <w:szCs w:val="16"/>
              </w:rPr>
              <w:t xml:space="preserve"> agents.</w:t>
            </w:r>
          </w:p>
        </w:tc>
        <w:tc>
          <w:tcPr>
            <w:tcW w:w="2542" w:type="dxa"/>
            <w:gridSpan w:val="2"/>
          </w:tcPr>
          <w:p w14:paraId="6FB53BA7" w14:textId="2E5D5FDE" w:rsidR="00024D18" w:rsidRPr="00AC7279" w:rsidRDefault="00024D18" w:rsidP="009C33DE">
            <w:pPr>
              <w:rPr>
                <w:sz w:val="16"/>
                <w:szCs w:val="16"/>
              </w:rPr>
            </w:pPr>
            <w:r w:rsidRPr="00AC7279">
              <w:rPr>
                <w:sz w:val="16"/>
                <w:szCs w:val="16"/>
              </w:rPr>
              <w:t xml:space="preserve">Increases administration costs to CER and transaction costs to some </w:t>
            </w:r>
            <w:r w:rsidR="002B7B1D">
              <w:rPr>
                <w:sz w:val="16"/>
                <w:szCs w:val="16"/>
              </w:rPr>
              <w:t xml:space="preserve">scheme </w:t>
            </w:r>
            <w:r w:rsidRPr="00AC7279">
              <w:rPr>
                <w:sz w:val="16"/>
                <w:szCs w:val="16"/>
              </w:rPr>
              <w:t>participants.</w:t>
            </w:r>
          </w:p>
        </w:tc>
        <w:tc>
          <w:tcPr>
            <w:tcW w:w="2399" w:type="dxa"/>
          </w:tcPr>
          <w:p w14:paraId="16BE55A7" w14:textId="77777777" w:rsidR="00024D18" w:rsidRPr="00AC7279" w:rsidRDefault="00024D18" w:rsidP="009C33DE">
            <w:pPr>
              <w:rPr>
                <w:sz w:val="16"/>
                <w:szCs w:val="16"/>
              </w:rPr>
            </w:pPr>
            <w:r w:rsidRPr="00AC7279">
              <w:rPr>
                <w:sz w:val="16"/>
                <w:szCs w:val="16"/>
              </w:rPr>
              <w:t>Could improve scheme compliance.</w:t>
            </w:r>
          </w:p>
          <w:p w14:paraId="1EE8B55F" w14:textId="77777777" w:rsidR="00024D18" w:rsidRPr="00AC7279" w:rsidRDefault="00024D18" w:rsidP="009C33DE">
            <w:pPr>
              <w:rPr>
                <w:sz w:val="16"/>
                <w:szCs w:val="16"/>
              </w:rPr>
            </w:pPr>
          </w:p>
          <w:p w14:paraId="6082BED9" w14:textId="77777777" w:rsidR="00024D18" w:rsidRPr="00AC7279" w:rsidRDefault="00024D18" w:rsidP="009C33DE">
            <w:pPr>
              <w:rPr>
                <w:sz w:val="16"/>
                <w:szCs w:val="16"/>
              </w:rPr>
            </w:pPr>
          </w:p>
        </w:tc>
        <w:tc>
          <w:tcPr>
            <w:tcW w:w="2400" w:type="dxa"/>
          </w:tcPr>
          <w:p w14:paraId="12E073A9" w14:textId="77777777" w:rsidR="00024D18" w:rsidRPr="00AC7279" w:rsidRDefault="00024D18" w:rsidP="009C33DE">
            <w:pPr>
              <w:rPr>
                <w:sz w:val="16"/>
                <w:szCs w:val="16"/>
              </w:rPr>
            </w:pPr>
            <w:r w:rsidRPr="00AC7279">
              <w:rPr>
                <w:sz w:val="16"/>
                <w:szCs w:val="16"/>
              </w:rPr>
              <w:t>Could improve environmental effectiveness of the scheme by strengthening compliance.</w:t>
            </w:r>
          </w:p>
        </w:tc>
        <w:tc>
          <w:tcPr>
            <w:tcW w:w="2117" w:type="dxa"/>
          </w:tcPr>
          <w:p w14:paraId="47C1D24A" w14:textId="26CA5590" w:rsidR="00024D18" w:rsidRPr="00AC7279" w:rsidRDefault="00024D18" w:rsidP="009C33DE">
            <w:pPr>
              <w:rPr>
                <w:sz w:val="16"/>
                <w:szCs w:val="16"/>
              </w:rPr>
            </w:pPr>
            <w:r w:rsidRPr="00AC7279">
              <w:rPr>
                <w:sz w:val="16"/>
                <w:szCs w:val="16"/>
              </w:rPr>
              <w:t xml:space="preserve">Treats agents the same as </w:t>
            </w:r>
            <w:r w:rsidR="007E5547" w:rsidRPr="00AC7279">
              <w:rPr>
                <w:sz w:val="16"/>
                <w:szCs w:val="16"/>
              </w:rPr>
              <w:t>scheme participants</w:t>
            </w:r>
            <w:r w:rsidRPr="00AC7279">
              <w:rPr>
                <w:sz w:val="16"/>
                <w:szCs w:val="16"/>
              </w:rPr>
              <w:t>.</w:t>
            </w:r>
          </w:p>
        </w:tc>
        <w:tc>
          <w:tcPr>
            <w:tcW w:w="2120" w:type="dxa"/>
          </w:tcPr>
          <w:p w14:paraId="71AD4E0D" w14:textId="77777777" w:rsidR="00024D18" w:rsidRPr="00AC7279" w:rsidRDefault="00024D18" w:rsidP="009C33DE">
            <w:pPr>
              <w:rPr>
                <w:sz w:val="16"/>
                <w:szCs w:val="16"/>
              </w:rPr>
            </w:pPr>
            <w:r w:rsidRPr="00AC7279">
              <w:rPr>
                <w:sz w:val="16"/>
                <w:szCs w:val="16"/>
              </w:rPr>
              <w:t>Change to CFI Act</w:t>
            </w:r>
          </w:p>
        </w:tc>
      </w:tr>
    </w:tbl>
    <w:p w14:paraId="3120B598" w14:textId="77777777" w:rsidR="009C33DE" w:rsidRPr="005206CA" w:rsidRDefault="009C33DE"/>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9C33DE" w:rsidRPr="005206CA" w14:paraId="0A6E24EB" w14:textId="77777777" w:rsidTr="0033387E">
        <w:trPr>
          <w:cnfStyle w:val="100000000000" w:firstRow="1" w:lastRow="0" w:firstColumn="0" w:lastColumn="0" w:oddVBand="0" w:evenVBand="0" w:oddHBand="0" w:evenHBand="0" w:firstRowFirstColumn="0" w:firstRowLastColumn="0" w:lastRowFirstColumn="0" w:lastRowLastColumn="0"/>
          <w:trHeight w:val="113"/>
        </w:trPr>
        <w:tc>
          <w:tcPr>
            <w:tcW w:w="805" w:type="dxa"/>
            <w:vMerge w:val="restart"/>
            <w:shd w:val="clear" w:color="auto" w:fill="159DCE"/>
            <w:vAlign w:val="center"/>
          </w:tcPr>
          <w:p w14:paraId="43E283DC" w14:textId="244EEEEA" w:rsidR="009C33DE" w:rsidRPr="005206CA" w:rsidRDefault="009C33DE" w:rsidP="00AC7279">
            <w:pPr>
              <w:spacing w:after="0"/>
              <w:rPr>
                <w:b/>
                <w:sz w:val="16"/>
                <w:szCs w:val="16"/>
              </w:rPr>
            </w:pPr>
          </w:p>
        </w:tc>
        <w:tc>
          <w:tcPr>
            <w:tcW w:w="2724" w:type="dxa"/>
            <w:vMerge w:val="restart"/>
            <w:shd w:val="clear" w:color="auto" w:fill="159DCE"/>
            <w:vAlign w:val="center"/>
          </w:tcPr>
          <w:p w14:paraId="63E956A0" w14:textId="1DAFE1BF" w:rsidR="009C33DE" w:rsidRPr="005206CA" w:rsidRDefault="009C33DE"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5143F31B" w14:textId="77777777" w:rsidR="009C33DE" w:rsidRPr="005206CA" w:rsidRDefault="009C33DE"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545CAB70" w14:textId="5321C308" w:rsidR="009C33DE" w:rsidRPr="005206CA" w:rsidRDefault="009C33DE" w:rsidP="00AC7279">
            <w:pPr>
              <w:spacing w:after="0"/>
              <w:rPr>
                <w:sz w:val="16"/>
                <w:szCs w:val="16"/>
              </w:rPr>
            </w:pPr>
          </w:p>
        </w:tc>
        <w:tc>
          <w:tcPr>
            <w:tcW w:w="2400" w:type="dxa"/>
            <w:vMerge w:val="restart"/>
            <w:shd w:val="clear" w:color="auto" w:fill="159DCE"/>
            <w:vAlign w:val="center"/>
          </w:tcPr>
          <w:p w14:paraId="0229CE58" w14:textId="001441F7" w:rsidR="009C33DE" w:rsidRPr="005206CA" w:rsidRDefault="009C33DE"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18DDB39A" w14:textId="4C2B7D58" w:rsidR="009C33DE" w:rsidRPr="005206CA" w:rsidRDefault="009C33DE"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0C3FE62E" w14:textId="522E00B1" w:rsidR="009C33DE" w:rsidRPr="005206CA" w:rsidRDefault="009C33DE" w:rsidP="00AC7279">
            <w:pPr>
              <w:spacing w:after="0"/>
              <w:rPr>
                <w:sz w:val="16"/>
                <w:szCs w:val="16"/>
              </w:rPr>
            </w:pPr>
            <w:r w:rsidRPr="005206CA">
              <w:rPr>
                <w:b/>
                <w:color w:val="FFFFFF" w:themeColor="background1"/>
                <w:sz w:val="16"/>
                <w:szCs w:val="16"/>
              </w:rPr>
              <w:t>IMPLEMENTATION PROCESS</w:t>
            </w:r>
          </w:p>
        </w:tc>
      </w:tr>
      <w:tr w:rsidR="009C33DE" w:rsidRPr="005206CA" w14:paraId="012D9C48" w14:textId="77777777" w:rsidTr="0033387E">
        <w:trPr>
          <w:cnfStyle w:val="000000100000" w:firstRow="0" w:lastRow="0" w:firstColumn="0" w:lastColumn="0" w:oddVBand="0" w:evenVBand="0" w:oddHBand="1" w:evenHBand="0" w:firstRowFirstColumn="0" w:firstRowLastColumn="0" w:lastRowFirstColumn="0" w:lastRowLastColumn="0"/>
          <w:trHeight w:val="285"/>
        </w:trPr>
        <w:tc>
          <w:tcPr>
            <w:tcW w:w="805" w:type="dxa"/>
            <w:vMerge/>
            <w:shd w:val="clear" w:color="auto" w:fill="159DCE"/>
            <w:vAlign w:val="center"/>
          </w:tcPr>
          <w:p w14:paraId="6D8B59E9" w14:textId="77777777" w:rsidR="009C33DE" w:rsidRPr="005206CA" w:rsidRDefault="009C33DE" w:rsidP="009C33DE">
            <w:pPr>
              <w:rPr>
                <w:b/>
                <w:sz w:val="16"/>
                <w:szCs w:val="16"/>
              </w:rPr>
            </w:pPr>
          </w:p>
        </w:tc>
        <w:tc>
          <w:tcPr>
            <w:tcW w:w="2724" w:type="dxa"/>
            <w:vMerge/>
            <w:shd w:val="clear" w:color="auto" w:fill="159DCE"/>
            <w:vAlign w:val="center"/>
          </w:tcPr>
          <w:p w14:paraId="16052B05" w14:textId="77777777" w:rsidR="009C33DE" w:rsidRPr="005206CA" w:rsidRDefault="009C33DE" w:rsidP="009C33DE">
            <w:pPr>
              <w:rPr>
                <w:b/>
                <w:color w:val="FFFFFF" w:themeColor="background1"/>
                <w:sz w:val="16"/>
                <w:szCs w:val="16"/>
              </w:rPr>
            </w:pPr>
          </w:p>
        </w:tc>
        <w:tc>
          <w:tcPr>
            <w:tcW w:w="2470" w:type="dxa"/>
            <w:shd w:val="clear" w:color="auto" w:fill="159DCE"/>
            <w:vAlign w:val="center"/>
          </w:tcPr>
          <w:p w14:paraId="0A0314F0" w14:textId="0E746D73" w:rsidR="009C33DE" w:rsidRPr="005206CA" w:rsidRDefault="009C33DE"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5F501D88" w14:textId="78F5F2E7" w:rsidR="009C33DE" w:rsidRPr="005206CA" w:rsidRDefault="009C33DE"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1F89C585" w14:textId="77777777" w:rsidR="009C33DE" w:rsidRPr="005206CA" w:rsidRDefault="009C33DE" w:rsidP="009C33DE">
            <w:pPr>
              <w:rPr>
                <w:b/>
                <w:color w:val="FFFFFF" w:themeColor="background1"/>
                <w:sz w:val="16"/>
                <w:szCs w:val="16"/>
              </w:rPr>
            </w:pPr>
          </w:p>
        </w:tc>
        <w:tc>
          <w:tcPr>
            <w:tcW w:w="2117" w:type="dxa"/>
            <w:vMerge/>
            <w:shd w:val="clear" w:color="auto" w:fill="159DCE"/>
            <w:vAlign w:val="center"/>
          </w:tcPr>
          <w:p w14:paraId="036B545D" w14:textId="77777777" w:rsidR="009C33DE" w:rsidRPr="005206CA" w:rsidRDefault="009C33DE" w:rsidP="009C33DE">
            <w:pPr>
              <w:rPr>
                <w:b/>
                <w:color w:val="FFFFFF" w:themeColor="background1"/>
                <w:sz w:val="16"/>
                <w:szCs w:val="16"/>
              </w:rPr>
            </w:pPr>
          </w:p>
        </w:tc>
        <w:tc>
          <w:tcPr>
            <w:tcW w:w="2120" w:type="dxa"/>
            <w:vMerge/>
            <w:shd w:val="clear" w:color="auto" w:fill="159DCE"/>
            <w:vAlign w:val="center"/>
          </w:tcPr>
          <w:p w14:paraId="47902D7B" w14:textId="77777777" w:rsidR="009C33DE" w:rsidRPr="005206CA" w:rsidRDefault="009C33DE" w:rsidP="009C33DE">
            <w:pPr>
              <w:rPr>
                <w:b/>
                <w:color w:val="FFFFFF" w:themeColor="background1"/>
                <w:sz w:val="16"/>
                <w:szCs w:val="16"/>
              </w:rPr>
            </w:pPr>
          </w:p>
        </w:tc>
      </w:tr>
      <w:tr w:rsidR="009C33DE" w:rsidRPr="005206CA" w14:paraId="6FCEAB67"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0B2FF4EC" w14:textId="346F2167" w:rsidR="00024D18" w:rsidRPr="00AC7279" w:rsidRDefault="00E00544" w:rsidP="009C33DE">
            <w:pPr>
              <w:rPr>
                <w:b/>
                <w:sz w:val="16"/>
                <w:szCs w:val="16"/>
              </w:rPr>
            </w:pPr>
            <w:r w:rsidRPr="00AC7279">
              <w:rPr>
                <w:b/>
                <w:sz w:val="16"/>
                <w:szCs w:val="16"/>
              </w:rPr>
              <w:fldChar w:fldCharType="begin"/>
            </w:r>
            <w:r w:rsidRPr="00AC7279">
              <w:rPr>
                <w:b/>
                <w:sz w:val="16"/>
                <w:szCs w:val="16"/>
              </w:rPr>
              <w:instrText xml:space="preserve"> REF _Ref497828164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15</w:t>
            </w:r>
            <w:r w:rsidRPr="00AC7279">
              <w:rPr>
                <w:b/>
                <w:sz w:val="16"/>
                <w:szCs w:val="16"/>
              </w:rPr>
              <w:fldChar w:fldCharType="end"/>
            </w:r>
          </w:p>
        </w:tc>
        <w:tc>
          <w:tcPr>
            <w:tcW w:w="2724" w:type="dxa"/>
          </w:tcPr>
          <w:p w14:paraId="49D3BD87" w14:textId="77777777" w:rsidR="00024D18" w:rsidRPr="00AC7279" w:rsidRDefault="00024D18" w:rsidP="009C33DE">
            <w:pPr>
              <w:rPr>
                <w:sz w:val="16"/>
                <w:szCs w:val="16"/>
              </w:rPr>
            </w:pPr>
            <w:r w:rsidRPr="00AC7279">
              <w:rPr>
                <w:sz w:val="16"/>
                <w:szCs w:val="16"/>
              </w:rPr>
              <w:t>Require a declaration from landholders that they have read the Department’s aggregation agreement resources to register an aggregated project.</w:t>
            </w:r>
          </w:p>
        </w:tc>
        <w:tc>
          <w:tcPr>
            <w:tcW w:w="2542" w:type="dxa"/>
            <w:gridSpan w:val="2"/>
          </w:tcPr>
          <w:p w14:paraId="5B1ABBEF" w14:textId="50269DA4" w:rsidR="00024D18" w:rsidRPr="00AC7279" w:rsidRDefault="00024D18" w:rsidP="009C33DE">
            <w:pPr>
              <w:rPr>
                <w:sz w:val="16"/>
                <w:szCs w:val="16"/>
              </w:rPr>
            </w:pPr>
            <w:r w:rsidRPr="00AC7279">
              <w:rPr>
                <w:sz w:val="16"/>
                <w:szCs w:val="16"/>
              </w:rPr>
              <w:t xml:space="preserve">Small increase in administrative costs for CER and transaction costs for </w:t>
            </w:r>
            <w:r w:rsidR="002B7B1D">
              <w:rPr>
                <w:sz w:val="16"/>
                <w:szCs w:val="16"/>
              </w:rPr>
              <w:t xml:space="preserve">scheme </w:t>
            </w:r>
            <w:r w:rsidRPr="00AC7279">
              <w:rPr>
                <w:sz w:val="16"/>
                <w:szCs w:val="16"/>
              </w:rPr>
              <w:t>participants.</w:t>
            </w:r>
          </w:p>
        </w:tc>
        <w:tc>
          <w:tcPr>
            <w:tcW w:w="2399" w:type="dxa"/>
          </w:tcPr>
          <w:p w14:paraId="2BA89C23" w14:textId="47A88D86" w:rsidR="00024D18" w:rsidRPr="00AC7279" w:rsidRDefault="00024D18" w:rsidP="009C33DE">
            <w:pPr>
              <w:rPr>
                <w:sz w:val="16"/>
                <w:szCs w:val="16"/>
              </w:rPr>
            </w:pPr>
            <w:r w:rsidRPr="00AC7279">
              <w:rPr>
                <w:sz w:val="16"/>
                <w:szCs w:val="16"/>
              </w:rPr>
              <w:t xml:space="preserve">Could enhance </w:t>
            </w:r>
            <w:r w:rsidR="006517B3">
              <w:rPr>
                <w:sz w:val="16"/>
                <w:szCs w:val="16"/>
              </w:rPr>
              <w:t>scheme</w:t>
            </w:r>
            <w:r w:rsidR="006517B3" w:rsidRPr="00AC7279">
              <w:rPr>
                <w:sz w:val="16"/>
                <w:szCs w:val="16"/>
              </w:rPr>
              <w:t xml:space="preserve"> </w:t>
            </w:r>
            <w:r w:rsidRPr="00AC7279">
              <w:rPr>
                <w:sz w:val="16"/>
                <w:szCs w:val="16"/>
              </w:rPr>
              <w:t>participant’s understanding of obligations and reduce the need for compliance action.</w:t>
            </w:r>
          </w:p>
        </w:tc>
        <w:tc>
          <w:tcPr>
            <w:tcW w:w="2400" w:type="dxa"/>
          </w:tcPr>
          <w:p w14:paraId="7E7ABC29" w14:textId="77777777" w:rsidR="00024D18" w:rsidRPr="00AC7279" w:rsidRDefault="00024D18" w:rsidP="009C33DE">
            <w:pPr>
              <w:rPr>
                <w:sz w:val="16"/>
                <w:szCs w:val="16"/>
              </w:rPr>
            </w:pPr>
            <w:r w:rsidRPr="00AC7279">
              <w:rPr>
                <w:sz w:val="16"/>
                <w:szCs w:val="16"/>
              </w:rPr>
              <w:t>NA</w:t>
            </w:r>
          </w:p>
        </w:tc>
        <w:tc>
          <w:tcPr>
            <w:tcW w:w="2117" w:type="dxa"/>
          </w:tcPr>
          <w:p w14:paraId="45915BBE" w14:textId="77777777" w:rsidR="00024D18" w:rsidRPr="00AC7279" w:rsidRDefault="00024D18" w:rsidP="009C33DE">
            <w:pPr>
              <w:rPr>
                <w:sz w:val="16"/>
                <w:szCs w:val="16"/>
              </w:rPr>
            </w:pPr>
            <w:r w:rsidRPr="00AC7279">
              <w:rPr>
                <w:sz w:val="16"/>
                <w:szCs w:val="16"/>
              </w:rPr>
              <w:t>Improves transparency and reduces asymmetry of information between landholder and aggregator.</w:t>
            </w:r>
          </w:p>
        </w:tc>
        <w:tc>
          <w:tcPr>
            <w:tcW w:w="2120" w:type="dxa"/>
          </w:tcPr>
          <w:p w14:paraId="747962C2" w14:textId="77777777" w:rsidR="00024D18" w:rsidRPr="00AC7279" w:rsidRDefault="00024D18" w:rsidP="009C33DE">
            <w:pPr>
              <w:rPr>
                <w:sz w:val="16"/>
                <w:szCs w:val="16"/>
              </w:rPr>
            </w:pPr>
            <w:r w:rsidRPr="00AC7279">
              <w:rPr>
                <w:sz w:val="16"/>
                <w:szCs w:val="16"/>
              </w:rPr>
              <w:t>Change to legislative rule</w:t>
            </w:r>
          </w:p>
        </w:tc>
      </w:tr>
      <w:tr w:rsidR="009C33DE" w:rsidRPr="005206CA" w14:paraId="0943DEA1"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0EC7D9B0" w14:textId="116BD927" w:rsidR="001F4066" w:rsidRPr="00AC7279" w:rsidRDefault="001F4066" w:rsidP="009C33DE">
            <w:pPr>
              <w:rPr>
                <w:b/>
                <w:sz w:val="16"/>
                <w:szCs w:val="16"/>
              </w:rPr>
            </w:pPr>
            <w:r w:rsidRPr="00AC7279">
              <w:rPr>
                <w:sz w:val="16"/>
                <w:szCs w:val="16"/>
              </w:rPr>
              <w:fldChar w:fldCharType="begin"/>
            </w:r>
            <w:r w:rsidRPr="00AC7279">
              <w:rPr>
                <w:sz w:val="16"/>
                <w:szCs w:val="16"/>
              </w:rPr>
              <w:instrText xml:space="preserve"> REF _Ref499897479 \h </w:instrText>
            </w:r>
            <w:r w:rsidR="009C33DE" w:rsidRPr="005206CA">
              <w:rPr>
                <w:sz w:val="16"/>
                <w:szCs w:val="16"/>
              </w:rPr>
              <w:instrText xml:space="preserve"> \* MERGEFORMAT </w:instrText>
            </w:r>
            <w:r w:rsidRPr="00AC7279">
              <w:rPr>
                <w:sz w:val="16"/>
                <w:szCs w:val="16"/>
              </w:rPr>
            </w:r>
            <w:r w:rsidRPr="00AC7279">
              <w:rPr>
                <w:sz w:val="16"/>
                <w:szCs w:val="16"/>
              </w:rPr>
              <w:fldChar w:fldCharType="separate"/>
            </w:r>
            <w:r w:rsidR="00FA2002" w:rsidRPr="00FA2002">
              <w:rPr>
                <w:rFonts w:cs="Arial"/>
                <w:sz w:val="16"/>
                <w:szCs w:val="16"/>
              </w:rPr>
              <w:t xml:space="preserve">R. </w:t>
            </w:r>
            <w:r w:rsidR="00FA2002" w:rsidRPr="00FA2002">
              <w:rPr>
                <w:rFonts w:cs="Arial"/>
                <w:noProof/>
                <w:sz w:val="16"/>
                <w:szCs w:val="16"/>
              </w:rPr>
              <w:t>16</w:t>
            </w:r>
            <w:r w:rsidRPr="00AC7279">
              <w:rPr>
                <w:sz w:val="16"/>
                <w:szCs w:val="16"/>
              </w:rPr>
              <w:fldChar w:fldCharType="end"/>
            </w:r>
          </w:p>
        </w:tc>
        <w:tc>
          <w:tcPr>
            <w:tcW w:w="2724" w:type="dxa"/>
          </w:tcPr>
          <w:p w14:paraId="23F6E472" w14:textId="55B31706" w:rsidR="001F4066" w:rsidRPr="00AC7279" w:rsidRDefault="00BA471C" w:rsidP="009C33DE">
            <w:pPr>
              <w:rPr>
                <w:sz w:val="16"/>
                <w:szCs w:val="16"/>
              </w:rPr>
            </w:pPr>
            <w:r w:rsidRPr="00AC7279">
              <w:rPr>
                <w:sz w:val="16"/>
                <w:szCs w:val="16"/>
              </w:rPr>
              <w:t>Some i</w:t>
            </w:r>
            <w:r w:rsidR="001F4066" w:rsidRPr="00AC7279">
              <w:rPr>
                <w:sz w:val="16"/>
                <w:szCs w:val="16"/>
              </w:rPr>
              <w:t xml:space="preserve">ndustry bodies and local government associations </w:t>
            </w:r>
            <w:r w:rsidR="00917F93">
              <w:rPr>
                <w:sz w:val="16"/>
                <w:szCs w:val="16"/>
              </w:rPr>
              <w:t>consider providing</w:t>
            </w:r>
            <w:r w:rsidR="001F4066" w:rsidRPr="00AC7279">
              <w:rPr>
                <w:sz w:val="16"/>
                <w:szCs w:val="16"/>
              </w:rPr>
              <w:t xml:space="preserve"> </w:t>
            </w:r>
            <w:r w:rsidRPr="00AC7279">
              <w:rPr>
                <w:sz w:val="16"/>
                <w:szCs w:val="16"/>
              </w:rPr>
              <w:t>advice to their stakeholders on ERF projects</w:t>
            </w:r>
            <w:r w:rsidR="001F4066" w:rsidRPr="00AC7279">
              <w:rPr>
                <w:sz w:val="16"/>
                <w:szCs w:val="16"/>
              </w:rPr>
              <w:t xml:space="preserve">. </w:t>
            </w:r>
          </w:p>
        </w:tc>
        <w:tc>
          <w:tcPr>
            <w:tcW w:w="2542" w:type="dxa"/>
            <w:gridSpan w:val="2"/>
          </w:tcPr>
          <w:p w14:paraId="51A6A308" w14:textId="4DAC4FDB" w:rsidR="001F4066" w:rsidRPr="00AC7279" w:rsidRDefault="001F4066" w:rsidP="009C33DE">
            <w:pPr>
              <w:rPr>
                <w:sz w:val="16"/>
                <w:szCs w:val="16"/>
              </w:rPr>
            </w:pPr>
            <w:r w:rsidRPr="00AC7279">
              <w:rPr>
                <w:sz w:val="16"/>
                <w:szCs w:val="16"/>
              </w:rPr>
              <w:t xml:space="preserve">Increases costs for </w:t>
            </w:r>
            <w:r w:rsidR="00BA471C" w:rsidRPr="00AC7279">
              <w:rPr>
                <w:sz w:val="16"/>
                <w:szCs w:val="16"/>
              </w:rPr>
              <w:t xml:space="preserve">some </w:t>
            </w:r>
            <w:r w:rsidRPr="00AC7279">
              <w:rPr>
                <w:sz w:val="16"/>
                <w:szCs w:val="16"/>
              </w:rPr>
              <w:t xml:space="preserve">industry bodies and local government associations. </w:t>
            </w:r>
          </w:p>
        </w:tc>
        <w:tc>
          <w:tcPr>
            <w:tcW w:w="2399" w:type="dxa"/>
          </w:tcPr>
          <w:p w14:paraId="54DEC5A0" w14:textId="77777777" w:rsidR="001F4066" w:rsidRPr="00AC7279" w:rsidRDefault="001F4066" w:rsidP="009C33DE">
            <w:pPr>
              <w:rPr>
                <w:sz w:val="16"/>
                <w:szCs w:val="16"/>
              </w:rPr>
            </w:pPr>
            <w:r w:rsidRPr="00AC7279">
              <w:rPr>
                <w:sz w:val="16"/>
                <w:szCs w:val="16"/>
              </w:rPr>
              <w:t>Could lead to lower cost abatement opportunities.</w:t>
            </w:r>
          </w:p>
          <w:p w14:paraId="01505EE6" w14:textId="77777777" w:rsidR="001F4066" w:rsidRPr="00AC7279" w:rsidDel="00C5017A" w:rsidRDefault="001F4066" w:rsidP="009C33DE">
            <w:pPr>
              <w:rPr>
                <w:sz w:val="16"/>
                <w:szCs w:val="16"/>
              </w:rPr>
            </w:pPr>
            <w:r w:rsidRPr="00AC7279">
              <w:rPr>
                <w:sz w:val="16"/>
                <w:szCs w:val="16"/>
              </w:rPr>
              <w:t>May reduce transaction costs and increase participation.</w:t>
            </w:r>
          </w:p>
          <w:p w14:paraId="00C95DE6" w14:textId="77777777" w:rsidR="001F4066" w:rsidRPr="00AC7279" w:rsidRDefault="001F4066" w:rsidP="009C33DE">
            <w:pPr>
              <w:rPr>
                <w:sz w:val="16"/>
                <w:szCs w:val="16"/>
              </w:rPr>
            </w:pPr>
          </w:p>
        </w:tc>
        <w:tc>
          <w:tcPr>
            <w:tcW w:w="2400" w:type="dxa"/>
          </w:tcPr>
          <w:p w14:paraId="4823FAEC" w14:textId="035553E2" w:rsidR="001F4066" w:rsidRPr="00AC7279" w:rsidRDefault="001F4066" w:rsidP="009C33DE">
            <w:pPr>
              <w:rPr>
                <w:sz w:val="16"/>
                <w:szCs w:val="16"/>
              </w:rPr>
            </w:pPr>
            <w:r w:rsidRPr="00AC7279">
              <w:rPr>
                <w:sz w:val="16"/>
                <w:szCs w:val="16"/>
              </w:rPr>
              <w:t>May increase abatement.</w:t>
            </w:r>
          </w:p>
        </w:tc>
        <w:tc>
          <w:tcPr>
            <w:tcW w:w="2117" w:type="dxa"/>
          </w:tcPr>
          <w:p w14:paraId="275E1CAF" w14:textId="7B7FACA9" w:rsidR="001F4066" w:rsidRPr="00AC7279" w:rsidRDefault="001F4066" w:rsidP="009C33DE">
            <w:pPr>
              <w:rPr>
                <w:sz w:val="16"/>
                <w:szCs w:val="16"/>
              </w:rPr>
            </w:pPr>
            <w:r w:rsidRPr="00AC7279">
              <w:rPr>
                <w:sz w:val="16"/>
                <w:szCs w:val="16"/>
              </w:rPr>
              <w:t>NA</w:t>
            </w:r>
          </w:p>
        </w:tc>
        <w:tc>
          <w:tcPr>
            <w:tcW w:w="2120" w:type="dxa"/>
          </w:tcPr>
          <w:p w14:paraId="607F288F" w14:textId="615089E2" w:rsidR="001F4066" w:rsidRPr="00AC7279" w:rsidRDefault="001F4066" w:rsidP="009C33DE">
            <w:pPr>
              <w:rPr>
                <w:sz w:val="16"/>
                <w:szCs w:val="16"/>
              </w:rPr>
            </w:pPr>
            <w:r w:rsidRPr="00AC7279">
              <w:rPr>
                <w:sz w:val="16"/>
                <w:szCs w:val="16"/>
              </w:rPr>
              <w:t>Industry bodies/local government associations</w:t>
            </w:r>
          </w:p>
        </w:tc>
      </w:tr>
      <w:tr w:rsidR="009C33DE" w:rsidRPr="005206CA" w14:paraId="2A37329B"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6692833B" w14:textId="77777777" w:rsidR="00E01598" w:rsidRPr="00AC7279" w:rsidRDefault="00E01598" w:rsidP="009C33DE">
            <w:pPr>
              <w:rPr>
                <w:sz w:val="16"/>
                <w:szCs w:val="16"/>
              </w:rPr>
            </w:pPr>
            <w:r w:rsidRPr="00AC7279">
              <w:rPr>
                <w:sz w:val="16"/>
                <w:szCs w:val="16"/>
              </w:rPr>
              <w:t>R. 17</w:t>
            </w:r>
          </w:p>
          <w:p w14:paraId="1DC14F2B" w14:textId="77777777" w:rsidR="00E01598" w:rsidRPr="00AC7279" w:rsidRDefault="00E01598" w:rsidP="009C33DE">
            <w:pPr>
              <w:rPr>
                <w:b/>
                <w:sz w:val="16"/>
                <w:szCs w:val="16"/>
              </w:rPr>
            </w:pPr>
          </w:p>
        </w:tc>
        <w:tc>
          <w:tcPr>
            <w:tcW w:w="2724" w:type="dxa"/>
          </w:tcPr>
          <w:p w14:paraId="1C06EB35" w14:textId="77777777" w:rsidR="00E01598" w:rsidRPr="00AC7279" w:rsidRDefault="00E01598" w:rsidP="009C33DE">
            <w:pPr>
              <w:rPr>
                <w:sz w:val="16"/>
                <w:szCs w:val="16"/>
              </w:rPr>
            </w:pPr>
            <w:r w:rsidRPr="00AC7279">
              <w:rPr>
                <w:sz w:val="16"/>
                <w:szCs w:val="16"/>
              </w:rPr>
              <w:t>Finalise guidance on consultation with Indigenous communities.</w:t>
            </w:r>
          </w:p>
          <w:p w14:paraId="507A07C6" w14:textId="029CD49E" w:rsidR="00E01598" w:rsidRPr="00AC7279" w:rsidRDefault="00E01598" w:rsidP="009C33DE">
            <w:pPr>
              <w:rPr>
                <w:sz w:val="16"/>
                <w:szCs w:val="16"/>
              </w:rPr>
            </w:pPr>
            <w:r w:rsidRPr="00AC7279">
              <w:rPr>
                <w:sz w:val="16"/>
                <w:szCs w:val="16"/>
              </w:rPr>
              <w:t xml:space="preserve">Require scheme participants to </w:t>
            </w:r>
            <w:r w:rsidR="007C3F87" w:rsidRPr="00AC7279">
              <w:rPr>
                <w:sz w:val="16"/>
                <w:szCs w:val="16"/>
              </w:rPr>
              <w:t xml:space="preserve">notify and </w:t>
            </w:r>
            <w:r w:rsidR="001F6BFA" w:rsidRPr="00AC7279">
              <w:rPr>
                <w:sz w:val="16"/>
                <w:szCs w:val="16"/>
              </w:rPr>
              <w:t xml:space="preserve">engage with </w:t>
            </w:r>
            <w:r w:rsidRPr="00AC7279">
              <w:rPr>
                <w:sz w:val="16"/>
                <w:szCs w:val="16"/>
              </w:rPr>
              <w:t>Registered Native Title Body Corporates and eligible interest holders (EIH) of intention to register a project and provide the CER with evidence of consultation.</w:t>
            </w:r>
          </w:p>
          <w:p w14:paraId="7489279E" w14:textId="77777777" w:rsidR="00E01598" w:rsidRPr="00AC7279" w:rsidRDefault="00E01598" w:rsidP="009C33DE">
            <w:pPr>
              <w:rPr>
                <w:sz w:val="16"/>
                <w:szCs w:val="16"/>
              </w:rPr>
            </w:pPr>
            <w:r w:rsidRPr="00AC7279">
              <w:rPr>
                <w:rFonts w:eastAsia="Times New Roman"/>
                <w:sz w:val="16"/>
                <w:szCs w:val="16"/>
              </w:rPr>
              <w:t>Scheme participants not be allowed to bid at auction until all eligible interest holder consents have been obtained.</w:t>
            </w:r>
          </w:p>
        </w:tc>
        <w:tc>
          <w:tcPr>
            <w:tcW w:w="2542" w:type="dxa"/>
            <w:gridSpan w:val="2"/>
          </w:tcPr>
          <w:p w14:paraId="4CC1DFCB" w14:textId="318CDE8E" w:rsidR="002F1C7A" w:rsidRPr="00AC7279" w:rsidRDefault="00E01598" w:rsidP="009C33DE">
            <w:pPr>
              <w:rPr>
                <w:sz w:val="16"/>
                <w:szCs w:val="16"/>
              </w:rPr>
            </w:pPr>
            <w:r w:rsidRPr="00AC7279">
              <w:rPr>
                <w:sz w:val="16"/>
                <w:szCs w:val="16"/>
              </w:rPr>
              <w:t xml:space="preserve">Increases administrative costs for </w:t>
            </w:r>
            <w:r w:rsidR="00221E4E">
              <w:rPr>
                <w:sz w:val="16"/>
                <w:szCs w:val="16"/>
              </w:rPr>
              <w:t xml:space="preserve">scheme </w:t>
            </w:r>
            <w:r w:rsidRPr="00AC7279">
              <w:rPr>
                <w:sz w:val="16"/>
                <w:szCs w:val="16"/>
              </w:rPr>
              <w:t>participants</w:t>
            </w:r>
            <w:r w:rsidR="002F1C7A" w:rsidRPr="00AC7279">
              <w:rPr>
                <w:sz w:val="16"/>
                <w:szCs w:val="16"/>
              </w:rPr>
              <w:t xml:space="preserve">. </w:t>
            </w:r>
          </w:p>
          <w:p w14:paraId="44B35147" w14:textId="77777777" w:rsidR="00E01598" w:rsidRPr="00AC7279" w:rsidRDefault="002F1C7A" w:rsidP="009C33DE">
            <w:pPr>
              <w:rPr>
                <w:sz w:val="16"/>
                <w:szCs w:val="16"/>
              </w:rPr>
            </w:pPr>
            <w:r w:rsidRPr="00AC7279">
              <w:rPr>
                <w:sz w:val="16"/>
                <w:szCs w:val="16"/>
              </w:rPr>
              <w:t>Restriction on bidding at auction</w:t>
            </w:r>
            <w:r w:rsidR="001F579B" w:rsidRPr="00AC7279">
              <w:rPr>
                <w:sz w:val="16"/>
                <w:szCs w:val="16"/>
              </w:rPr>
              <w:t xml:space="preserve"> may present a barrier to procuring finance. Could lead to reduced participation and higher auction prices.</w:t>
            </w:r>
          </w:p>
        </w:tc>
        <w:tc>
          <w:tcPr>
            <w:tcW w:w="2399" w:type="dxa"/>
          </w:tcPr>
          <w:p w14:paraId="2E41E52A" w14:textId="50B4DD4D" w:rsidR="001F579B" w:rsidRPr="00AC7279" w:rsidRDefault="00E01598" w:rsidP="009C33DE">
            <w:pPr>
              <w:rPr>
                <w:sz w:val="16"/>
                <w:szCs w:val="16"/>
              </w:rPr>
            </w:pPr>
            <w:r w:rsidRPr="00AC7279">
              <w:rPr>
                <w:sz w:val="16"/>
                <w:szCs w:val="16"/>
              </w:rPr>
              <w:t>Increases transparency. Reduces risk that ERF contract’s conditions precedent are not met and ERF projects do not deliver abatement</w:t>
            </w:r>
            <w:r w:rsidR="001F579B" w:rsidRPr="00AC7279">
              <w:rPr>
                <w:sz w:val="16"/>
                <w:szCs w:val="16"/>
              </w:rPr>
              <w:t>, delivering better value for tax payer funds.</w:t>
            </w:r>
            <w:r w:rsidR="001F579B" w:rsidRPr="00AC7279" w:rsidDel="004F4B7C">
              <w:rPr>
                <w:sz w:val="16"/>
                <w:szCs w:val="16"/>
              </w:rPr>
              <w:t xml:space="preserve"> </w:t>
            </w:r>
          </w:p>
          <w:p w14:paraId="310143F7" w14:textId="77777777" w:rsidR="00E01598" w:rsidRPr="00AC7279" w:rsidRDefault="00E01598" w:rsidP="009C33DE">
            <w:pPr>
              <w:rPr>
                <w:sz w:val="16"/>
                <w:szCs w:val="16"/>
              </w:rPr>
            </w:pPr>
          </w:p>
          <w:p w14:paraId="18992E0E" w14:textId="77777777" w:rsidR="00E01598" w:rsidRPr="00AC7279" w:rsidRDefault="00E01598" w:rsidP="009C33DE">
            <w:pPr>
              <w:rPr>
                <w:sz w:val="16"/>
                <w:szCs w:val="16"/>
              </w:rPr>
            </w:pPr>
            <w:r w:rsidRPr="00AC7279">
              <w:rPr>
                <w:sz w:val="16"/>
                <w:szCs w:val="16"/>
              </w:rPr>
              <w:t>May reduce net administrative costs for CER.</w:t>
            </w:r>
          </w:p>
          <w:p w14:paraId="478881F6" w14:textId="77777777" w:rsidR="00E01598" w:rsidRPr="00AC7279" w:rsidRDefault="00E01598" w:rsidP="009C33DE">
            <w:pPr>
              <w:rPr>
                <w:sz w:val="16"/>
                <w:szCs w:val="16"/>
              </w:rPr>
            </w:pPr>
          </w:p>
        </w:tc>
        <w:tc>
          <w:tcPr>
            <w:tcW w:w="2400" w:type="dxa"/>
          </w:tcPr>
          <w:p w14:paraId="5AEEA105" w14:textId="77777777" w:rsidR="00E01598" w:rsidRPr="00AC7279" w:rsidRDefault="00E01598" w:rsidP="009C33DE">
            <w:pPr>
              <w:rPr>
                <w:sz w:val="16"/>
                <w:szCs w:val="16"/>
              </w:rPr>
            </w:pPr>
            <w:r w:rsidRPr="00AC7279">
              <w:rPr>
                <w:sz w:val="16"/>
                <w:szCs w:val="16"/>
              </w:rPr>
              <w:t>Increased likelihood of Government contracting with projects that will go ahead to deliver abatement</w:t>
            </w:r>
            <w:r w:rsidR="001F579B" w:rsidRPr="00AC7279">
              <w:rPr>
                <w:sz w:val="16"/>
                <w:szCs w:val="16"/>
              </w:rPr>
              <w:t xml:space="preserve"> but less abatement may be purchased if auction prices rise.</w:t>
            </w:r>
          </w:p>
        </w:tc>
        <w:tc>
          <w:tcPr>
            <w:tcW w:w="2117" w:type="dxa"/>
          </w:tcPr>
          <w:p w14:paraId="0FA410D0" w14:textId="07C558E1" w:rsidR="00E01598" w:rsidRPr="00AC7279" w:rsidRDefault="00E01598" w:rsidP="009C33DE">
            <w:pPr>
              <w:rPr>
                <w:sz w:val="16"/>
                <w:szCs w:val="16"/>
              </w:rPr>
            </w:pPr>
            <w:r w:rsidRPr="00AC7279">
              <w:rPr>
                <w:sz w:val="16"/>
                <w:szCs w:val="16"/>
              </w:rPr>
              <w:t xml:space="preserve">Improves transparency and ability for EIHs to negotiate with </w:t>
            </w:r>
            <w:r w:rsidR="00221E4E">
              <w:rPr>
                <w:sz w:val="16"/>
                <w:szCs w:val="16"/>
              </w:rPr>
              <w:t xml:space="preserve">scheme </w:t>
            </w:r>
            <w:r w:rsidR="007E5547" w:rsidRPr="00AC7279">
              <w:rPr>
                <w:sz w:val="16"/>
                <w:szCs w:val="16"/>
              </w:rPr>
              <w:t>participants</w:t>
            </w:r>
            <w:r w:rsidRPr="00AC7279">
              <w:rPr>
                <w:sz w:val="16"/>
                <w:szCs w:val="16"/>
              </w:rPr>
              <w:t>.</w:t>
            </w:r>
          </w:p>
          <w:p w14:paraId="2425C6CB" w14:textId="4801C27F" w:rsidR="00E01598" w:rsidRPr="00AC7279" w:rsidRDefault="00E01598" w:rsidP="009C33DE">
            <w:pPr>
              <w:rPr>
                <w:sz w:val="16"/>
                <w:szCs w:val="16"/>
              </w:rPr>
            </w:pPr>
            <w:r w:rsidRPr="00AC7279">
              <w:rPr>
                <w:sz w:val="16"/>
                <w:szCs w:val="16"/>
              </w:rPr>
              <w:t>Treats new entrants differently to incumbents, EIHs can negotiate with</w:t>
            </w:r>
            <w:r>
              <w:rPr>
                <w:sz w:val="16"/>
                <w:szCs w:val="16"/>
              </w:rPr>
              <w:t xml:space="preserve"> </w:t>
            </w:r>
            <w:r w:rsidR="00221E4E">
              <w:rPr>
                <w:sz w:val="16"/>
                <w:szCs w:val="16"/>
              </w:rPr>
              <w:t>scheme</w:t>
            </w:r>
            <w:r w:rsidRPr="00AC7279">
              <w:rPr>
                <w:sz w:val="16"/>
                <w:szCs w:val="16"/>
              </w:rPr>
              <w:t xml:space="preserve"> </w:t>
            </w:r>
            <w:r w:rsidR="007E5547" w:rsidRPr="00AC7279">
              <w:rPr>
                <w:sz w:val="16"/>
                <w:szCs w:val="16"/>
              </w:rPr>
              <w:t>participants</w:t>
            </w:r>
            <w:r w:rsidRPr="00AC7279">
              <w:rPr>
                <w:sz w:val="16"/>
                <w:szCs w:val="16"/>
              </w:rPr>
              <w:t xml:space="preserve"> prior to a contract being in place.</w:t>
            </w:r>
          </w:p>
        </w:tc>
        <w:tc>
          <w:tcPr>
            <w:tcW w:w="2120" w:type="dxa"/>
          </w:tcPr>
          <w:p w14:paraId="58481B4F" w14:textId="77777777" w:rsidR="00E01598" w:rsidRPr="00AC7279" w:rsidRDefault="00E01598" w:rsidP="009C33DE">
            <w:pPr>
              <w:rPr>
                <w:sz w:val="16"/>
                <w:szCs w:val="16"/>
              </w:rPr>
            </w:pPr>
            <w:r w:rsidRPr="00AC7279">
              <w:rPr>
                <w:sz w:val="16"/>
                <w:szCs w:val="16"/>
              </w:rPr>
              <w:t>CER</w:t>
            </w:r>
          </w:p>
          <w:p w14:paraId="614C7D10" w14:textId="77777777" w:rsidR="00E01598" w:rsidRPr="00AC7279" w:rsidRDefault="00E01598" w:rsidP="009C33DE">
            <w:pPr>
              <w:rPr>
                <w:sz w:val="16"/>
                <w:szCs w:val="16"/>
              </w:rPr>
            </w:pPr>
            <w:r w:rsidRPr="00AC7279">
              <w:rPr>
                <w:sz w:val="16"/>
                <w:szCs w:val="16"/>
              </w:rPr>
              <w:t>and</w:t>
            </w:r>
          </w:p>
          <w:p w14:paraId="4E66C712" w14:textId="77777777" w:rsidR="00E01598" w:rsidRPr="00AC7279" w:rsidRDefault="00E01598" w:rsidP="009C33DE">
            <w:pPr>
              <w:rPr>
                <w:sz w:val="16"/>
                <w:szCs w:val="16"/>
              </w:rPr>
            </w:pPr>
            <w:r w:rsidRPr="00AC7279">
              <w:rPr>
                <w:sz w:val="16"/>
                <w:szCs w:val="16"/>
              </w:rPr>
              <w:t>Change to legislative rule</w:t>
            </w:r>
          </w:p>
          <w:p w14:paraId="57EFEBD5" w14:textId="77777777" w:rsidR="00E01598" w:rsidRPr="00AC7279" w:rsidRDefault="00E01598" w:rsidP="009C33DE">
            <w:pPr>
              <w:rPr>
                <w:sz w:val="16"/>
                <w:szCs w:val="16"/>
              </w:rPr>
            </w:pPr>
          </w:p>
        </w:tc>
      </w:tr>
      <w:tr w:rsidR="009C33DE" w:rsidRPr="005206CA" w14:paraId="266C24D4"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229D3130" w14:textId="26614403"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_Ref497828250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18</w:t>
            </w:r>
            <w:r w:rsidRPr="00AC7279">
              <w:rPr>
                <w:b/>
                <w:sz w:val="16"/>
                <w:szCs w:val="16"/>
              </w:rPr>
              <w:fldChar w:fldCharType="end"/>
            </w:r>
          </w:p>
        </w:tc>
        <w:tc>
          <w:tcPr>
            <w:tcW w:w="2724" w:type="dxa"/>
          </w:tcPr>
          <w:p w14:paraId="0374BFDB" w14:textId="5120B4F7" w:rsidR="00024D18" w:rsidRPr="00AC7279" w:rsidDel="00EC2A2F" w:rsidRDefault="004B7B17" w:rsidP="009C33DE">
            <w:pPr>
              <w:rPr>
                <w:sz w:val="16"/>
                <w:szCs w:val="16"/>
              </w:rPr>
            </w:pPr>
            <w:r w:rsidRPr="00AC7279">
              <w:rPr>
                <w:sz w:val="16"/>
                <w:szCs w:val="16"/>
              </w:rPr>
              <w:t>Make explicit</w:t>
            </w:r>
            <w:r w:rsidR="00024D18" w:rsidRPr="00AC7279">
              <w:rPr>
                <w:sz w:val="16"/>
                <w:szCs w:val="16"/>
              </w:rPr>
              <w:t xml:space="preserve"> the CER’s ability to reverse </w:t>
            </w:r>
            <w:r w:rsidR="001F579B" w:rsidRPr="00AC7279">
              <w:rPr>
                <w:sz w:val="16"/>
                <w:szCs w:val="16"/>
              </w:rPr>
              <w:t xml:space="preserve">specific </w:t>
            </w:r>
            <w:r w:rsidR="00024D18" w:rsidRPr="00AC7279">
              <w:rPr>
                <w:sz w:val="16"/>
                <w:szCs w:val="16"/>
              </w:rPr>
              <w:t xml:space="preserve">decisions in cases where the original decision was based on </w:t>
            </w:r>
            <w:r w:rsidR="00BA471C" w:rsidRPr="00AC7279">
              <w:rPr>
                <w:sz w:val="16"/>
                <w:szCs w:val="16"/>
              </w:rPr>
              <w:t>false or misleading information</w:t>
            </w:r>
            <w:r w:rsidR="00024D18" w:rsidRPr="00AC7279">
              <w:rPr>
                <w:sz w:val="16"/>
                <w:szCs w:val="16"/>
              </w:rPr>
              <w:t>.</w:t>
            </w:r>
          </w:p>
        </w:tc>
        <w:tc>
          <w:tcPr>
            <w:tcW w:w="2542" w:type="dxa"/>
            <w:gridSpan w:val="2"/>
          </w:tcPr>
          <w:p w14:paraId="30F0D7A0" w14:textId="5408D6CB" w:rsidR="00024D18" w:rsidRPr="00AC7279" w:rsidRDefault="00024D18" w:rsidP="009C33DE">
            <w:pPr>
              <w:rPr>
                <w:sz w:val="16"/>
                <w:szCs w:val="16"/>
              </w:rPr>
            </w:pPr>
            <w:r w:rsidRPr="00AC7279">
              <w:rPr>
                <w:sz w:val="16"/>
                <w:szCs w:val="16"/>
              </w:rPr>
              <w:t xml:space="preserve">Increases risks for </w:t>
            </w:r>
            <w:r w:rsidR="00221E4E">
              <w:rPr>
                <w:sz w:val="16"/>
                <w:szCs w:val="16"/>
              </w:rPr>
              <w:t xml:space="preserve">scheme </w:t>
            </w:r>
            <w:r w:rsidRPr="00AC7279">
              <w:rPr>
                <w:sz w:val="16"/>
                <w:szCs w:val="16"/>
              </w:rPr>
              <w:t>participants.</w:t>
            </w:r>
          </w:p>
        </w:tc>
        <w:tc>
          <w:tcPr>
            <w:tcW w:w="2399" w:type="dxa"/>
          </w:tcPr>
          <w:p w14:paraId="228CEF44" w14:textId="77777777" w:rsidR="00024D18" w:rsidRPr="00AC7279" w:rsidRDefault="00024D18" w:rsidP="009C33DE">
            <w:pPr>
              <w:rPr>
                <w:sz w:val="16"/>
                <w:szCs w:val="16"/>
              </w:rPr>
            </w:pPr>
            <w:r w:rsidRPr="00AC7279">
              <w:rPr>
                <w:sz w:val="16"/>
                <w:szCs w:val="16"/>
              </w:rPr>
              <w:t xml:space="preserve">More efficient administrative decision making. </w:t>
            </w:r>
          </w:p>
        </w:tc>
        <w:tc>
          <w:tcPr>
            <w:tcW w:w="2400" w:type="dxa"/>
          </w:tcPr>
          <w:p w14:paraId="13C3CAE3" w14:textId="77777777" w:rsidR="00024D18" w:rsidRPr="00AC7279" w:rsidRDefault="00024D18" w:rsidP="009C33DE">
            <w:pPr>
              <w:rPr>
                <w:sz w:val="16"/>
                <w:szCs w:val="16"/>
              </w:rPr>
            </w:pPr>
            <w:r w:rsidRPr="00AC7279">
              <w:rPr>
                <w:sz w:val="16"/>
                <w:szCs w:val="16"/>
              </w:rPr>
              <w:t>NA</w:t>
            </w:r>
          </w:p>
        </w:tc>
        <w:tc>
          <w:tcPr>
            <w:tcW w:w="2117" w:type="dxa"/>
          </w:tcPr>
          <w:p w14:paraId="594B2F5E" w14:textId="77777777" w:rsidR="00024D18" w:rsidRPr="00AC7279" w:rsidRDefault="00024D18" w:rsidP="009C33DE">
            <w:pPr>
              <w:rPr>
                <w:sz w:val="16"/>
                <w:szCs w:val="16"/>
              </w:rPr>
            </w:pPr>
            <w:r w:rsidRPr="00AC7279">
              <w:rPr>
                <w:sz w:val="16"/>
                <w:szCs w:val="16"/>
              </w:rPr>
              <w:t>NA</w:t>
            </w:r>
          </w:p>
        </w:tc>
        <w:tc>
          <w:tcPr>
            <w:tcW w:w="2120" w:type="dxa"/>
          </w:tcPr>
          <w:p w14:paraId="34651F3D" w14:textId="77777777" w:rsidR="00024D18" w:rsidRPr="00AC7279" w:rsidRDefault="00024D18" w:rsidP="009C33DE">
            <w:pPr>
              <w:rPr>
                <w:sz w:val="16"/>
                <w:szCs w:val="16"/>
              </w:rPr>
            </w:pPr>
            <w:r w:rsidRPr="00AC7279">
              <w:rPr>
                <w:sz w:val="16"/>
                <w:szCs w:val="16"/>
              </w:rPr>
              <w:t xml:space="preserve">Change </w:t>
            </w:r>
            <w:r w:rsidR="00BF4D81" w:rsidRPr="00AC7279">
              <w:rPr>
                <w:sz w:val="16"/>
                <w:szCs w:val="16"/>
              </w:rPr>
              <w:t xml:space="preserve">to </w:t>
            </w:r>
            <w:r w:rsidRPr="00AC7279">
              <w:rPr>
                <w:sz w:val="16"/>
                <w:szCs w:val="16"/>
              </w:rPr>
              <w:t>CFI Act</w:t>
            </w:r>
          </w:p>
        </w:tc>
      </w:tr>
    </w:tbl>
    <w:p w14:paraId="2A9BC708" w14:textId="77777777" w:rsidR="009C33DE" w:rsidRPr="005206CA" w:rsidRDefault="009C33DE">
      <w:pPr>
        <w:sectPr w:rsidR="009C33DE" w:rsidRPr="005206CA" w:rsidSect="003C5733">
          <w:pgSz w:w="16838" w:h="11906" w:orient="landscape"/>
          <w:pgMar w:top="1418" w:right="1418" w:bottom="1276" w:left="567" w:header="425" w:footer="425" w:gutter="0"/>
          <w:cols w:space="708"/>
          <w:titlePg/>
          <w:docGrid w:linePitch="360"/>
        </w:sectPr>
      </w:pPr>
    </w:p>
    <w:p w14:paraId="58B1DD93" w14:textId="5A347C92" w:rsidR="009C33DE" w:rsidRPr="005206CA" w:rsidRDefault="009C33DE"/>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9C33DE" w:rsidRPr="005206CA" w14:paraId="155AA44B" w14:textId="77777777" w:rsidTr="0033387E">
        <w:trPr>
          <w:cnfStyle w:val="100000000000" w:firstRow="1" w:lastRow="0" w:firstColumn="0" w:lastColumn="0" w:oddVBand="0" w:evenVBand="0" w:oddHBand="0" w:evenHBand="0" w:firstRowFirstColumn="0" w:firstRowLastColumn="0" w:lastRowFirstColumn="0" w:lastRowLastColumn="0"/>
          <w:trHeight w:val="286"/>
        </w:trPr>
        <w:tc>
          <w:tcPr>
            <w:tcW w:w="805" w:type="dxa"/>
            <w:vMerge w:val="restart"/>
            <w:shd w:val="clear" w:color="auto" w:fill="159DCE"/>
          </w:tcPr>
          <w:p w14:paraId="64BC1941" w14:textId="4C2A40AE" w:rsidR="009C33DE" w:rsidRPr="005206CA" w:rsidRDefault="009C33DE" w:rsidP="009C33DE">
            <w:pPr>
              <w:rPr>
                <w:b/>
                <w:sz w:val="16"/>
                <w:szCs w:val="16"/>
              </w:rPr>
            </w:pPr>
          </w:p>
        </w:tc>
        <w:tc>
          <w:tcPr>
            <w:tcW w:w="2724" w:type="dxa"/>
            <w:vMerge w:val="restart"/>
            <w:shd w:val="clear" w:color="auto" w:fill="159DCE"/>
            <w:vAlign w:val="center"/>
          </w:tcPr>
          <w:p w14:paraId="1F21C5EE" w14:textId="741C79FC" w:rsidR="009C33DE" w:rsidRPr="005206CA" w:rsidRDefault="009C33DE"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39B3B93E" w14:textId="77777777" w:rsidR="009C33DE" w:rsidRPr="005206CA" w:rsidRDefault="009C33DE"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07A73AC8" w14:textId="54897E00" w:rsidR="009C33DE" w:rsidRPr="005206CA" w:rsidRDefault="009C33DE" w:rsidP="00AC7279">
            <w:pPr>
              <w:spacing w:after="0"/>
              <w:rPr>
                <w:sz w:val="16"/>
                <w:szCs w:val="16"/>
              </w:rPr>
            </w:pPr>
          </w:p>
        </w:tc>
        <w:tc>
          <w:tcPr>
            <w:tcW w:w="2400" w:type="dxa"/>
            <w:vMerge w:val="restart"/>
            <w:shd w:val="clear" w:color="auto" w:fill="159DCE"/>
            <w:vAlign w:val="center"/>
          </w:tcPr>
          <w:p w14:paraId="3586BEE2" w14:textId="78401468" w:rsidR="009C33DE" w:rsidRPr="005206CA" w:rsidRDefault="009C33DE"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0D55AEBC" w14:textId="4D5BDC9B" w:rsidR="009C33DE" w:rsidRPr="005206CA" w:rsidRDefault="009C33DE"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2B1D127A" w14:textId="1E0BF7B3" w:rsidR="009C33DE" w:rsidRPr="005206CA" w:rsidRDefault="009C33DE" w:rsidP="00AC7279">
            <w:pPr>
              <w:spacing w:after="0"/>
              <w:rPr>
                <w:sz w:val="16"/>
                <w:szCs w:val="16"/>
              </w:rPr>
            </w:pPr>
            <w:r w:rsidRPr="005206CA">
              <w:rPr>
                <w:b/>
                <w:color w:val="FFFFFF" w:themeColor="background1"/>
                <w:sz w:val="16"/>
                <w:szCs w:val="16"/>
              </w:rPr>
              <w:t>IMPLEMENTATION PROCESS</w:t>
            </w:r>
          </w:p>
        </w:tc>
      </w:tr>
      <w:tr w:rsidR="009C33DE" w:rsidRPr="005206CA" w14:paraId="2FBC02A9" w14:textId="77777777" w:rsidTr="0033387E">
        <w:trPr>
          <w:cnfStyle w:val="000000100000" w:firstRow="0" w:lastRow="0" w:firstColumn="0" w:lastColumn="0" w:oddVBand="0" w:evenVBand="0" w:oddHBand="1" w:evenHBand="0" w:firstRowFirstColumn="0" w:firstRowLastColumn="0" w:lastRowFirstColumn="0" w:lastRowLastColumn="0"/>
          <w:trHeight w:val="285"/>
        </w:trPr>
        <w:tc>
          <w:tcPr>
            <w:tcW w:w="805" w:type="dxa"/>
            <w:vMerge/>
            <w:shd w:val="clear" w:color="auto" w:fill="159DCE"/>
          </w:tcPr>
          <w:p w14:paraId="13503CFF" w14:textId="77777777" w:rsidR="009C33DE" w:rsidRPr="005206CA" w:rsidRDefault="009C33DE" w:rsidP="009C33DE">
            <w:pPr>
              <w:rPr>
                <w:b/>
                <w:sz w:val="16"/>
                <w:szCs w:val="16"/>
              </w:rPr>
            </w:pPr>
          </w:p>
        </w:tc>
        <w:tc>
          <w:tcPr>
            <w:tcW w:w="2724" w:type="dxa"/>
            <w:vMerge/>
            <w:shd w:val="clear" w:color="auto" w:fill="159DCE"/>
            <w:vAlign w:val="center"/>
          </w:tcPr>
          <w:p w14:paraId="0840B3DE" w14:textId="77777777" w:rsidR="009C33DE" w:rsidRPr="005206CA" w:rsidRDefault="009C33DE" w:rsidP="009C33DE">
            <w:pPr>
              <w:rPr>
                <w:b/>
                <w:color w:val="FFFFFF" w:themeColor="background1"/>
                <w:sz w:val="16"/>
                <w:szCs w:val="16"/>
              </w:rPr>
            </w:pPr>
          </w:p>
        </w:tc>
        <w:tc>
          <w:tcPr>
            <w:tcW w:w="2470" w:type="dxa"/>
            <w:shd w:val="clear" w:color="auto" w:fill="159DCE"/>
            <w:vAlign w:val="center"/>
          </w:tcPr>
          <w:p w14:paraId="7B6F6848" w14:textId="1A74BA45" w:rsidR="009C33DE" w:rsidRPr="005206CA" w:rsidRDefault="009C33DE"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35410C16" w14:textId="5633C0B5" w:rsidR="009C33DE" w:rsidRPr="005206CA" w:rsidRDefault="009C33DE"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1B7989ED" w14:textId="77777777" w:rsidR="009C33DE" w:rsidRPr="005206CA" w:rsidRDefault="009C33DE" w:rsidP="009C33DE">
            <w:pPr>
              <w:rPr>
                <w:b/>
                <w:color w:val="FFFFFF" w:themeColor="background1"/>
                <w:sz w:val="16"/>
                <w:szCs w:val="16"/>
              </w:rPr>
            </w:pPr>
          </w:p>
        </w:tc>
        <w:tc>
          <w:tcPr>
            <w:tcW w:w="2117" w:type="dxa"/>
            <w:vMerge/>
            <w:shd w:val="clear" w:color="auto" w:fill="159DCE"/>
            <w:vAlign w:val="center"/>
          </w:tcPr>
          <w:p w14:paraId="20AD0C16" w14:textId="77777777" w:rsidR="009C33DE" w:rsidRPr="005206CA" w:rsidRDefault="009C33DE" w:rsidP="009C33DE">
            <w:pPr>
              <w:rPr>
                <w:b/>
                <w:color w:val="FFFFFF" w:themeColor="background1"/>
                <w:sz w:val="16"/>
                <w:szCs w:val="16"/>
              </w:rPr>
            </w:pPr>
          </w:p>
        </w:tc>
        <w:tc>
          <w:tcPr>
            <w:tcW w:w="2120" w:type="dxa"/>
            <w:vMerge/>
            <w:shd w:val="clear" w:color="auto" w:fill="159DCE"/>
            <w:vAlign w:val="center"/>
          </w:tcPr>
          <w:p w14:paraId="29B56A4E" w14:textId="77777777" w:rsidR="009C33DE" w:rsidRPr="005206CA" w:rsidRDefault="009C33DE" w:rsidP="009C33DE">
            <w:pPr>
              <w:rPr>
                <w:b/>
                <w:color w:val="FFFFFF" w:themeColor="background1"/>
                <w:sz w:val="16"/>
                <w:szCs w:val="16"/>
              </w:rPr>
            </w:pPr>
          </w:p>
        </w:tc>
      </w:tr>
      <w:tr w:rsidR="009C33DE" w:rsidRPr="005206CA" w14:paraId="1E565F54"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1DCD9F4D" w14:textId="7C7AE786"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_Ref497828279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19</w:t>
            </w:r>
            <w:r w:rsidRPr="00AC7279">
              <w:rPr>
                <w:b/>
                <w:sz w:val="16"/>
                <w:szCs w:val="16"/>
              </w:rPr>
              <w:fldChar w:fldCharType="end"/>
            </w:r>
          </w:p>
        </w:tc>
        <w:tc>
          <w:tcPr>
            <w:tcW w:w="2724" w:type="dxa"/>
          </w:tcPr>
          <w:p w14:paraId="74650EFB" w14:textId="2129AFC8" w:rsidR="00024D18" w:rsidRPr="00AC7279" w:rsidRDefault="00024D18" w:rsidP="009C33DE">
            <w:pPr>
              <w:rPr>
                <w:sz w:val="16"/>
                <w:szCs w:val="16"/>
              </w:rPr>
            </w:pPr>
            <w:r w:rsidRPr="00AC7279">
              <w:rPr>
                <w:sz w:val="16"/>
                <w:szCs w:val="16"/>
              </w:rPr>
              <w:t>Remove the requirement to state whether sequestration or area</w:t>
            </w:r>
            <w:r w:rsidR="00036DC9" w:rsidRPr="00AC7279">
              <w:rPr>
                <w:sz w:val="16"/>
                <w:szCs w:val="16"/>
              </w:rPr>
              <w:t xml:space="preserve"> </w:t>
            </w:r>
            <w:r w:rsidRPr="00AC7279">
              <w:rPr>
                <w:sz w:val="16"/>
                <w:szCs w:val="16"/>
              </w:rPr>
              <w:t xml:space="preserve">based projects are consistent with relevant NRM </w:t>
            </w:r>
            <w:r w:rsidR="007C0998" w:rsidRPr="00AC7279">
              <w:rPr>
                <w:sz w:val="16"/>
                <w:szCs w:val="16"/>
              </w:rPr>
              <w:t>plan</w:t>
            </w:r>
            <w:r w:rsidR="001F579B" w:rsidRPr="00AC7279">
              <w:rPr>
                <w:sz w:val="16"/>
                <w:szCs w:val="16"/>
              </w:rPr>
              <w:t>s</w:t>
            </w:r>
            <w:r w:rsidRPr="00AC7279">
              <w:rPr>
                <w:sz w:val="16"/>
                <w:szCs w:val="16"/>
              </w:rPr>
              <w:t xml:space="preserve"> and instead require </w:t>
            </w:r>
            <w:r w:rsidR="00221E4E">
              <w:rPr>
                <w:sz w:val="16"/>
                <w:szCs w:val="16"/>
              </w:rPr>
              <w:t xml:space="preserve">scheme </w:t>
            </w:r>
            <w:r w:rsidR="001F579B" w:rsidRPr="00AC7279">
              <w:rPr>
                <w:sz w:val="16"/>
                <w:szCs w:val="16"/>
              </w:rPr>
              <w:t xml:space="preserve">participants </w:t>
            </w:r>
            <w:r w:rsidRPr="00AC7279">
              <w:rPr>
                <w:sz w:val="16"/>
                <w:szCs w:val="16"/>
              </w:rPr>
              <w:t xml:space="preserve">to provide evidence that they have advised the relevant NRM body of the </w:t>
            </w:r>
            <w:r w:rsidR="001F579B" w:rsidRPr="00AC7279">
              <w:rPr>
                <w:sz w:val="16"/>
                <w:szCs w:val="16"/>
              </w:rPr>
              <w:t xml:space="preserve">proposed </w:t>
            </w:r>
            <w:r w:rsidRPr="00AC7279">
              <w:rPr>
                <w:sz w:val="16"/>
                <w:szCs w:val="16"/>
              </w:rPr>
              <w:t>project.</w:t>
            </w:r>
          </w:p>
        </w:tc>
        <w:tc>
          <w:tcPr>
            <w:tcW w:w="2542" w:type="dxa"/>
            <w:gridSpan w:val="2"/>
          </w:tcPr>
          <w:p w14:paraId="63FCB45C" w14:textId="57978DCA" w:rsidR="00024D18" w:rsidRPr="00AC7279" w:rsidRDefault="00024D18" w:rsidP="009C33DE">
            <w:pPr>
              <w:rPr>
                <w:sz w:val="16"/>
                <w:szCs w:val="16"/>
              </w:rPr>
            </w:pPr>
            <w:r w:rsidRPr="00AC7279">
              <w:rPr>
                <w:sz w:val="16"/>
                <w:szCs w:val="16"/>
              </w:rPr>
              <w:t xml:space="preserve">Increases transaction costs to </w:t>
            </w:r>
            <w:r w:rsidR="00221E4E">
              <w:rPr>
                <w:sz w:val="16"/>
                <w:szCs w:val="16"/>
              </w:rPr>
              <w:t xml:space="preserve">scheme </w:t>
            </w:r>
            <w:r w:rsidRPr="00AC7279">
              <w:rPr>
                <w:sz w:val="16"/>
                <w:szCs w:val="16"/>
              </w:rPr>
              <w:t>participants and NRM bodies.</w:t>
            </w:r>
          </w:p>
        </w:tc>
        <w:tc>
          <w:tcPr>
            <w:tcW w:w="2399" w:type="dxa"/>
          </w:tcPr>
          <w:p w14:paraId="70A00CF4" w14:textId="284A3276" w:rsidR="00024D18" w:rsidRPr="00AC7279" w:rsidRDefault="006517B3" w:rsidP="009C33DE">
            <w:pPr>
              <w:rPr>
                <w:sz w:val="16"/>
                <w:szCs w:val="16"/>
              </w:rPr>
            </w:pPr>
            <w:r>
              <w:rPr>
                <w:sz w:val="16"/>
                <w:szCs w:val="16"/>
              </w:rPr>
              <w:t>Scheme</w:t>
            </w:r>
            <w:r w:rsidRPr="00AC7279">
              <w:rPr>
                <w:sz w:val="16"/>
                <w:szCs w:val="16"/>
              </w:rPr>
              <w:t xml:space="preserve"> </w:t>
            </w:r>
            <w:r w:rsidR="007E5547" w:rsidRPr="00AC7279">
              <w:rPr>
                <w:sz w:val="16"/>
                <w:szCs w:val="16"/>
              </w:rPr>
              <w:t>participant</w:t>
            </w:r>
            <w:r w:rsidR="00024D18" w:rsidRPr="00AC7279">
              <w:rPr>
                <w:sz w:val="16"/>
                <w:szCs w:val="16"/>
              </w:rPr>
              <w:t xml:space="preserve"> and NRM body more aware of risks and benefits of proposed project for local region.</w:t>
            </w:r>
          </w:p>
          <w:p w14:paraId="471DDD2F" w14:textId="77777777" w:rsidR="00024D18" w:rsidRPr="00AC7279" w:rsidRDefault="00024D18" w:rsidP="009C33DE">
            <w:pPr>
              <w:rPr>
                <w:sz w:val="16"/>
                <w:szCs w:val="16"/>
              </w:rPr>
            </w:pPr>
          </w:p>
        </w:tc>
        <w:tc>
          <w:tcPr>
            <w:tcW w:w="2400" w:type="dxa"/>
          </w:tcPr>
          <w:p w14:paraId="5FBB2751" w14:textId="77777777" w:rsidR="00024D18" w:rsidRPr="00AC7279" w:rsidRDefault="00024D18" w:rsidP="009C33DE">
            <w:pPr>
              <w:rPr>
                <w:sz w:val="16"/>
                <w:szCs w:val="16"/>
              </w:rPr>
            </w:pPr>
            <w:r w:rsidRPr="00AC7279">
              <w:rPr>
                <w:sz w:val="16"/>
                <w:szCs w:val="16"/>
              </w:rPr>
              <w:t>NA</w:t>
            </w:r>
          </w:p>
        </w:tc>
        <w:tc>
          <w:tcPr>
            <w:tcW w:w="2117" w:type="dxa"/>
          </w:tcPr>
          <w:p w14:paraId="29E04710" w14:textId="77777777" w:rsidR="00024D18" w:rsidRPr="00AC7279" w:rsidRDefault="00024D18" w:rsidP="009C33DE">
            <w:pPr>
              <w:rPr>
                <w:sz w:val="16"/>
                <w:szCs w:val="16"/>
              </w:rPr>
            </w:pPr>
            <w:r w:rsidRPr="00AC7279">
              <w:rPr>
                <w:sz w:val="16"/>
                <w:szCs w:val="16"/>
              </w:rPr>
              <w:t>NA</w:t>
            </w:r>
          </w:p>
        </w:tc>
        <w:tc>
          <w:tcPr>
            <w:tcW w:w="2120" w:type="dxa"/>
          </w:tcPr>
          <w:p w14:paraId="1C12F539" w14:textId="77777777" w:rsidR="00024D18" w:rsidRPr="00AC7279" w:rsidRDefault="00024D18" w:rsidP="009C33DE">
            <w:pPr>
              <w:rPr>
                <w:sz w:val="16"/>
                <w:szCs w:val="16"/>
              </w:rPr>
            </w:pPr>
            <w:r w:rsidRPr="00AC7279">
              <w:rPr>
                <w:sz w:val="16"/>
                <w:szCs w:val="16"/>
              </w:rPr>
              <w:t>Change to CFI Act</w:t>
            </w:r>
          </w:p>
        </w:tc>
      </w:tr>
      <w:tr w:rsidR="009C33DE" w:rsidRPr="005206CA" w14:paraId="5468C610"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7293E843" w14:textId="121107FA"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_Ref497828286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20</w:t>
            </w:r>
            <w:r w:rsidRPr="00AC7279">
              <w:rPr>
                <w:b/>
                <w:sz w:val="16"/>
                <w:szCs w:val="16"/>
              </w:rPr>
              <w:fldChar w:fldCharType="end"/>
            </w:r>
          </w:p>
        </w:tc>
        <w:tc>
          <w:tcPr>
            <w:tcW w:w="2724" w:type="dxa"/>
          </w:tcPr>
          <w:p w14:paraId="2F424EDF" w14:textId="77777777" w:rsidR="00024D18" w:rsidRPr="00AC7279" w:rsidRDefault="00024D18" w:rsidP="009C33DE">
            <w:pPr>
              <w:rPr>
                <w:sz w:val="16"/>
                <w:szCs w:val="16"/>
              </w:rPr>
            </w:pPr>
            <w:r w:rsidRPr="00AC7279">
              <w:rPr>
                <w:sz w:val="16"/>
                <w:szCs w:val="16"/>
              </w:rPr>
              <w:t>No change to the purchasing principles.</w:t>
            </w:r>
          </w:p>
        </w:tc>
        <w:tc>
          <w:tcPr>
            <w:tcW w:w="2542" w:type="dxa"/>
            <w:gridSpan w:val="2"/>
          </w:tcPr>
          <w:p w14:paraId="1DD896A8" w14:textId="77777777" w:rsidR="00024D18" w:rsidRPr="00AC7279" w:rsidRDefault="00024D18" w:rsidP="009C33DE">
            <w:pPr>
              <w:rPr>
                <w:sz w:val="16"/>
                <w:szCs w:val="16"/>
              </w:rPr>
            </w:pPr>
            <w:r w:rsidRPr="00AC7279">
              <w:rPr>
                <w:sz w:val="16"/>
                <w:szCs w:val="16"/>
              </w:rPr>
              <w:t>No change to status quo.</w:t>
            </w:r>
          </w:p>
        </w:tc>
        <w:tc>
          <w:tcPr>
            <w:tcW w:w="2399" w:type="dxa"/>
          </w:tcPr>
          <w:p w14:paraId="1918761D" w14:textId="77777777" w:rsidR="00024D18" w:rsidRPr="00AC7279" w:rsidRDefault="00024D18" w:rsidP="009C33DE">
            <w:pPr>
              <w:rPr>
                <w:sz w:val="16"/>
                <w:szCs w:val="16"/>
              </w:rPr>
            </w:pPr>
            <w:r w:rsidRPr="00AC7279">
              <w:rPr>
                <w:sz w:val="16"/>
                <w:szCs w:val="16"/>
              </w:rPr>
              <w:t>Maintains focus on purchasing least cost abatement.</w:t>
            </w:r>
          </w:p>
        </w:tc>
        <w:tc>
          <w:tcPr>
            <w:tcW w:w="2400" w:type="dxa"/>
          </w:tcPr>
          <w:p w14:paraId="5A77EA29" w14:textId="77777777" w:rsidR="00024D18" w:rsidRPr="00AC7279" w:rsidRDefault="00024D18" w:rsidP="009C33DE">
            <w:pPr>
              <w:rPr>
                <w:sz w:val="16"/>
                <w:szCs w:val="16"/>
              </w:rPr>
            </w:pPr>
            <w:r w:rsidRPr="00AC7279">
              <w:rPr>
                <w:sz w:val="16"/>
                <w:szCs w:val="16"/>
              </w:rPr>
              <w:t>No change to status quo.</w:t>
            </w:r>
          </w:p>
        </w:tc>
        <w:tc>
          <w:tcPr>
            <w:tcW w:w="2117" w:type="dxa"/>
          </w:tcPr>
          <w:p w14:paraId="455F0681" w14:textId="77777777" w:rsidR="00024D18" w:rsidRPr="00AC7279" w:rsidRDefault="00024D18" w:rsidP="009C33DE">
            <w:pPr>
              <w:rPr>
                <w:sz w:val="16"/>
                <w:szCs w:val="16"/>
              </w:rPr>
            </w:pPr>
            <w:r w:rsidRPr="00AC7279">
              <w:rPr>
                <w:sz w:val="16"/>
                <w:szCs w:val="16"/>
              </w:rPr>
              <w:t>No change to status quo.</w:t>
            </w:r>
          </w:p>
        </w:tc>
        <w:tc>
          <w:tcPr>
            <w:tcW w:w="2120" w:type="dxa"/>
          </w:tcPr>
          <w:p w14:paraId="69895402" w14:textId="77777777" w:rsidR="00024D18" w:rsidRPr="00AC7279" w:rsidRDefault="00250193" w:rsidP="009C33DE">
            <w:pPr>
              <w:rPr>
                <w:sz w:val="16"/>
                <w:szCs w:val="16"/>
              </w:rPr>
            </w:pPr>
            <w:r w:rsidRPr="00AC7279">
              <w:rPr>
                <w:sz w:val="16"/>
                <w:szCs w:val="16"/>
              </w:rPr>
              <w:t>No change to status quo</w:t>
            </w:r>
          </w:p>
        </w:tc>
      </w:tr>
      <w:tr w:rsidR="009C33DE" w:rsidRPr="005206CA" w14:paraId="1C5ED16C"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52833EE2" w14:textId="326BC4E2"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_Ref497828293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21</w:t>
            </w:r>
            <w:r w:rsidRPr="00AC7279">
              <w:rPr>
                <w:b/>
                <w:sz w:val="16"/>
                <w:szCs w:val="16"/>
              </w:rPr>
              <w:fldChar w:fldCharType="end"/>
            </w:r>
          </w:p>
        </w:tc>
        <w:tc>
          <w:tcPr>
            <w:tcW w:w="2724" w:type="dxa"/>
          </w:tcPr>
          <w:p w14:paraId="10105399" w14:textId="77777777" w:rsidR="00024D18" w:rsidRPr="00AC7279" w:rsidRDefault="00024D18" w:rsidP="009C33DE">
            <w:pPr>
              <w:rPr>
                <w:sz w:val="16"/>
                <w:szCs w:val="16"/>
              </w:rPr>
            </w:pPr>
            <w:r w:rsidRPr="00AC7279">
              <w:rPr>
                <w:sz w:val="16"/>
                <w:szCs w:val="16"/>
              </w:rPr>
              <w:t xml:space="preserve">Revisit the cap on buyer damages under </w:t>
            </w:r>
            <w:r w:rsidR="001F579B" w:rsidRPr="00AC7279">
              <w:rPr>
                <w:sz w:val="16"/>
                <w:szCs w:val="16"/>
              </w:rPr>
              <w:t>ERF</w:t>
            </w:r>
            <w:r w:rsidR="007C0998" w:rsidRPr="00AC7279">
              <w:rPr>
                <w:sz w:val="16"/>
                <w:szCs w:val="16"/>
              </w:rPr>
              <w:t xml:space="preserve"> contract</w:t>
            </w:r>
            <w:r w:rsidR="001F579B" w:rsidRPr="00AC7279">
              <w:rPr>
                <w:sz w:val="16"/>
                <w:szCs w:val="16"/>
              </w:rPr>
              <w:t>s</w:t>
            </w:r>
            <w:r w:rsidRPr="00AC7279">
              <w:rPr>
                <w:sz w:val="16"/>
                <w:szCs w:val="16"/>
              </w:rPr>
              <w:t>.</w:t>
            </w:r>
          </w:p>
        </w:tc>
        <w:tc>
          <w:tcPr>
            <w:tcW w:w="2542" w:type="dxa"/>
            <w:gridSpan w:val="2"/>
          </w:tcPr>
          <w:p w14:paraId="5D63D2D9" w14:textId="56103095" w:rsidR="00024D18" w:rsidRPr="00AC7279" w:rsidRDefault="00024D18" w:rsidP="009C33DE">
            <w:pPr>
              <w:rPr>
                <w:sz w:val="16"/>
                <w:szCs w:val="16"/>
              </w:rPr>
            </w:pPr>
            <w:r w:rsidRPr="00AC7279">
              <w:rPr>
                <w:sz w:val="16"/>
                <w:szCs w:val="16"/>
              </w:rPr>
              <w:t xml:space="preserve">Increases potential costs for </w:t>
            </w:r>
            <w:r w:rsidR="00221E4E">
              <w:rPr>
                <w:sz w:val="16"/>
                <w:szCs w:val="16"/>
              </w:rPr>
              <w:t xml:space="preserve">scheme </w:t>
            </w:r>
            <w:r w:rsidRPr="00AC7279">
              <w:rPr>
                <w:sz w:val="16"/>
                <w:szCs w:val="16"/>
              </w:rPr>
              <w:t>participants, which may lead to reduced participation and increased auction prices.</w:t>
            </w:r>
          </w:p>
        </w:tc>
        <w:tc>
          <w:tcPr>
            <w:tcW w:w="2399" w:type="dxa"/>
          </w:tcPr>
          <w:p w14:paraId="599CA67F" w14:textId="77777777" w:rsidR="00024D18" w:rsidRPr="00AC7279" w:rsidRDefault="00024D18" w:rsidP="009C33DE">
            <w:pPr>
              <w:rPr>
                <w:sz w:val="16"/>
                <w:szCs w:val="16"/>
              </w:rPr>
            </w:pPr>
            <w:r w:rsidRPr="00AC7279">
              <w:rPr>
                <w:sz w:val="16"/>
                <w:szCs w:val="16"/>
              </w:rPr>
              <w:t>May encourage delivery under contracts, could reduce risk to Government of needing to purchase abatement from elsewhere.</w:t>
            </w:r>
          </w:p>
        </w:tc>
        <w:tc>
          <w:tcPr>
            <w:tcW w:w="2400" w:type="dxa"/>
          </w:tcPr>
          <w:p w14:paraId="69AC43E8" w14:textId="77777777" w:rsidR="00024D18" w:rsidRPr="00AC7279" w:rsidRDefault="00024D18" w:rsidP="009C33DE">
            <w:pPr>
              <w:rPr>
                <w:sz w:val="16"/>
                <w:szCs w:val="16"/>
              </w:rPr>
            </w:pPr>
            <w:r w:rsidRPr="00AC7279">
              <w:rPr>
                <w:sz w:val="16"/>
                <w:szCs w:val="16"/>
              </w:rPr>
              <w:t>Increases incentives to deliver abatement against contracts but less abatement may be purchased overall if auction prices rise.</w:t>
            </w:r>
          </w:p>
        </w:tc>
        <w:tc>
          <w:tcPr>
            <w:tcW w:w="2117" w:type="dxa"/>
          </w:tcPr>
          <w:p w14:paraId="10B5F918" w14:textId="77777777" w:rsidR="00024D18" w:rsidRPr="00AC7279" w:rsidRDefault="00024D18" w:rsidP="009C33DE">
            <w:pPr>
              <w:rPr>
                <w:sz w:val="16"/>
                <w:szCs w:val="16"/>
              </w:rPr>
            </w:pPr>
            <w:r w:rsidRPr="00AC7279">
              <w:rPr>
                <w:sz w:val="16"/>
                <w:szCs w:val="16"/>
              </w:rPr>
              <w:t>Treats new entrants differently to incumbents.</w:t>
            </w:r>
          </w:p>
        </w:tc>
        <w:tc>
          <w:tcPr>
            <w:tcW w:w="2120" w:type="dxa"/>
          </w:tcPr>
          <w:p w14:paraId="3021D115" w14:textId="77777777" w:rsidR="00024D18" w:rsidRPr="00AC7279" w:rsidRDefault="00024D18" w:rsidP="009C33DE">
            <w:pPr>
              <w:rPr>
                <w:sz w:val="16"/>
                <w:szCs w:val="16"/>
              </w:rPr>
            </w:pPr>
            <w:r w:rsidRPr="00AC7279">
              <w:rPr>
                <w:sz w:val="16"/>
                <w:szCs w:val="16"/>
              </w:rPr>
              <w:t>CER</w:t>
            </w:r>
          </w:p>
        </w:tc>
      </w:tr>
      <w:tr w:rsidR="009C33DE" w:rsidRPr="005206CA" w14:paraId="49ED9631"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7C94D7F3" w14:textId="6B6CDB61"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_Ref497828297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22</w:t>
            </w:r>
            <w:r w:rsidRPr="00AC7279">
              <w:rPr>
                <w:b/>
                <w:sz w:val="16"/>
                <w:szCs w:val="16"/>
              </w:rPr>
              <w:fldChar w:fldCharType="end"/>
            </w:r>
          </w:p>
        </w:tc>
        <w:tc>
          <w:tcPr>
            <w:tcW w:w="2724" w:type="dxa"/>
          </w:tcPr>
          <w:p w14:paraId="752D7C8F" w14:textId="5D7CD3F3" w:rsidR="00024D18" w:rsidRPr="00AC7279" w:rsidRDefault="00024D18" w:rsidP="009C33DE">
            <w:pPr>
              <w:rPr>
                <w:sz w:val="16"/>
                <w:szCs w:val="16"/>
              </w:rPr>
            </w:pPr>
            <w:r w:rsidRPr="00AC7279">
              <w:rPr>
                <w:sz w:val="16"/>
                <w:szCs w:val="16"/>
              </w:rPr>
              <w:t xml:space="preserve">Require </w:t>
            </w:r>
            <w:r w:rsidR="00221E4E">
              <w:rPr>
                <w:iCs/>
                <w:sz w:val="16"/>
                <w:szCs w:val="16"/>
              </w:rPr>
              <w:t>scheme</w:t>
            </w:r>
            <w:r>
              <w:rPr>
                <w:sz w:val="16"/>
                <w:szCs w:val="16"/>
              </w:rPr>
              <w:t xml:space="preserve"> </w:t>
            </w:r>
            <w:r w:rsidRPr="00AC7279">
              <w:rPr>
                <w:sz w:val="16"/>
                <w:szCs w:val="16"/>
              </w:rPr>
              <w:t>participants to deliver a minimum of 30-50 per cent of ACCUs from the project</w:t>
            </w:r>
            <w:r w:rsidR="00BD11BE">
              <w:rPr>
                <w:iCs/>
                <w:sz w:val="16"/>
                <w:szCs w:val="16"/>
              </w:rPr>
              <w:t>s</w:t>
            </w:r>
            <w:r w:rsidRPr="00AC7279">
              <w:rPr>
                <w:sz w:val="16"/>
                <w:szCs w:val="16"/>
              </w:rPr>
              <w:t xml:space="preserve"> they used to register at auction.</w:t>
            </w:r>
          </w:p>
        </w:tc>
        <w:tc>
          <w:tcPr>
            <w:tcW w:w="2542" w:type="dxa"/>
            <w:gridSpan w:val="2"/>
          </w:tcPr>
          <w:p w14:paraId="6D1080BE" w14:textId="47C63987" w:rsidR="00024D18" w:rsidRPr="00AC7279" w:rsidRDefault="00024D18" w:rsidP="009C33DE">
            <w:pPr>
              <w:rPr>
                <w:sz w:val="16"/>
                <w:szCs w:val="16"/>
              </w:rPr>
            </w:pPr>
            <w:r w:rsidRPr="00AC7279">
              <w:rPr>
                <w:sz w:val="16"/>
                <w:szCs w:val="16"/>
              </w:rPr>
              <w:t xml:space="preserve">Reduces flexibility for </w:t>
            </w:r>
            <w:r w:rsidR="00221E4E">
              <w:rPr>
                <w:sz w:val="16"/>
                <w:szCs w:val="16"/>
              </w:rPr>
              <w:t xml:space="preserve">scheme </w:t>
            </w:r>
            <w:r w:rsidRPr="00AC7279">
              <w:rPr>
                <w:sz w:val="16"/>
                <w:szCs w:val="16"/>
              </w:rPr>
              <w:t>participants and increases costs, which may lead to reduced participation and increased auction prices. Increases administrative costs to CER.</w:t>
            </w:r>
          </w:p>
        </w:tc>
        <w:tc>
          <w:tcPr>
            <w:tcW w:w="2399" w:type="dxa"/>
          </w:tcPr>
          <w:p w14:paraId="2D27F089" w14:textId="77777777" w:rsidR="00024D18" w:rsidRPr="00AC7279" w:rsidRDefault="00024D18" w:rsidP="009C33DE">
            <w:pPr>
              <w:rPr>
                <w:sz w:val="16"/>
                <w:szCs w:val="16"/>
              </w:rPr>
            </w:pPr>
            <w:r w:rsidRPr="00AC7279">
              <w:rPr>
                <w:sz w:val="16"/>
                <w:szCs w:val="16"/>
              </w:rPr>
              <w:t>Greater certainty of delivery under contracts and reduces risk to Government of needing to purchase abatement from elsewhere.</w:t>
            </w:r>
          </w:p>
        </w:tc>
        <w:tc>
          <w:tcPr>
            <w:tcW w:w="2400" w:type="dxa"/>
          </w:tcPr>
          <w:p w14:paraId="704386D1" w14:textId="77777777" w:rsidR="00024D18" w:rsidRPr="00AC7279" w:rsidRDefault="00024D18" w:rsidP="009C33DE">
            <w:pPr>
              <w:rPr>
                <w:sz w:val="16"/>
                <w:szCs w:val="16"/>
              </w:rPr>
            </w:pPr>
            <w:r w:rsidRPr="00AC7279">
              <w:rPr>
                <w:sz w:val="16"/>
                <w:szCs w:val="16"/>
              </w:rPr>
              <w:t xml:space="preserve">Unlikely to change status quo assuming any replacement abatement purchased by the Government is robust. </w:t>
            </w:r>
          </w:p>
        </w:tc>
        <w:tc>
          <w:tcPr>
            <w:tcW w:w="2117" w:type="dxa"/>
          </w:tcPr>
          <w:p w14:paraId="6997F1F7" w14:textId="77777777" w:rsidR="00024D18" w:rsidRPr="00AC7279" w:rsidRDefault="00024D18" w:rsidP="009C33DE">
            <w:pPr>
              <w:rPr>
                <w:sz w:val="16"/>
                <w:szCs w:val="16"/>
              </w:rPr>
            </w:pPr>
            <w:r w:rsidRPr="00AC7279">
              <w:rPr>
                <w:sz w:val="16"/>
                <w:szCs w:val="16"/>
              </w:rPr>
              <w:t>Treats new entrants differently to incumbents</w:t>
            </w:r>
            <w:r w:rsidR="00D81FC8" w:rsidRPr="00AC7279">
              <w:rPr>
                <w:sz w:val="16"/>
                <w:szCs w:val="16"/>
              </w:rPr>
              <w:t>.</w:t>
            </w:r>
          </w:p>
        </w:tc>
        <w:tc>
          <w:tcPr>
            <w:tcW w:w="2120" w:type="dxa"/>
          </w:tcPr>
          <w:p w14:paraId="052A7C42" w14:textId="77777777" w:rsidR="00024D18" w:rsidRPr="00AC7279" w:rsidRDefault="00024D18" w:rsidP="009C33DE">
            <w:pPr>
              <w:rPr>
                <w:sz w:val="16"/>
                <w:szCs w:val="16"/>
              </w:rPr>
            </w:pPr>
            <w:r w:rsidRPr="00AC7279">
              <w:rPr>
                <w:sz w:val="16"/>
                <w:szCs w:val="16"/>
              </w:rPr>
              <w:t>CER</w:t>
            </w:r>
          </w:p>
        </w:tc>
      </w:tr>
      <w:tr w:rsidR="009C33DE" w:rsidRPr="005206CA" w14:paraId="213735D5"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5E965B50" w14:textId="71766FA0" w:rsidR="001F4066" w:rsidRPr="00AC7279" w:rsidRDefault="00E557DB" w:rsidP="009C33DE">
            <w:pPr>
              <w:rPr>
                <w:sz w:val="16"/>
                <w:szCs w:val="16"/>
              </w:rPr>
            </w:pPr>
            <w:r w:rsidRPr="00AC7279">
              <w:rPr>
                <w:sz w:val="16"/>
                <w:szCs w:val="16"/>
              </w:rPr>
              <w:fldChar w:fldCharType="begin"/>
            </w:r>
            <w:r w:rsidRPr="00AC7279">
              <w:rPr>
                <w:sz w:val="16"/>
                <w:szCs w:val="16"/>
              </w:rPr>
              <w:instrText xml:space="preserve"> REF _Ref497828309 \h </w:instrText>
            </w:r>
            <w:r w:rsidR="009C33DE" w:rsidRPr="005206CA">
              <w:rPr>
                <w:sz w:val="16"/>
                <w:szCs w:val="16"/>
              </w:rPr>
              <w:instrText xml:space="preserve"> \* MERGEFORMAT </w:instrText>
            </w:r>
            <w:r w:rsidRPr="00AC7279">
              <w:rPr>
                <w:sz w:val="16"/>
                <w:szCs w:val="16"/>
              </w:rPr>
            </w:r>
            <w:r w:rsidRPr="00AC7279">
              <w:rPr>
                <w:sz w:val="16"/>
                <w:szCs w:val="16"/>
              </w:rPr>
              <w:fldChar w:fldCharType="separate"/>
            </w:r>
            <w:r w:rsidR="00FA2002" w:rsidRPr="00FA2002">
              <w:rPr>
                <w:rFonts w:cs="Arial"/>
                <w:sz w:val="16"/>
                <w:szCs w:val="16"/>
              </w:rPr>
              <w:t xml:space="preserve">R. </w:t>
            </w:r>
            <w:r w:rsidR="00FA2002" w:rsidRPr="00FA2002">
              <w:rPr>
                <w:rFonts w:cs="Arial"/>
                <w:noProof/>
                <w:sz w:val="16"/>
                <w:szCs w:val="16"/>
              </w:rPr>
              <w:t>23</w:t>
            </w:r>
            <w:r w:rsidRPr="00AC7279">
              <w:rPr>
                <w:sz w:val="16"/>
                <w:szCs w:val="16"/>
              </w:rPr>
              <w:fldChar w:fldCharType="end"/>
            </w:r>
          </w:p>
          <w:p w14:paraId="4BF3504E" w14:textId="77777777" w:rsidR="00024D18" w:rsidRPr="00AC7279" w:rsidRDefault="00024D18" w:rsidP="009C33DE">
            <w:pPr>
              <w:rPr>
                <w:b/>
                <w:sz w:val="16"/>
                <w:szCs w:val="16"/>
              </w:rPr>
            </w:pPr>
          </w:p>
        </w:tc>
        <w:tc>
          <w:tcPr>
            <w:tcW w:w="2724" w:type="dxa"/>
          </w:tcPr>
          <w:p w14:paraId="505C98FA" w14:textId="77777777" w:rsidR="001F579B" w:rsidRPr="00AC7279" w:rsidDel="00EC2A2F" w:rsidRDefault="00024D18" w:rsidP="009C33DE">
            <w:pPr>
              <w:rPr>
                <w:sz w:val="16"/>
                <w:szCs w:val="16"/>
              </w:rPr>
            </w:pPr>
            <w:r w:rsidRPr="00AC7279">
              <w:rPr>
                <w:sz w:val="16"/>
                <w:szCs w:val="16"/>
              </w:rPr>
              <w:t>Publish timely information about the holding of ACCUs.</w:t>
            </w:r>
          </w:p>
          <w:p w14:paraId="0B658418" w14:textId="17DA28E9" w:rsidR="00024D18" w:rsidRPr="00AC7279" w:rsidDel="00EC2A2F" w:rsidRDefault="001F579B" w:rsidP="009C33DE">
            <w:pPr>
              <w:rPr>
                <w:sz w:val="16"/>
                <w:szCs w:val="16"/>
              </w:rPr>
            </w:pPr>
            <w:r w:rsidRPr="00AC7279">
              <w:rPr>
                <w:sz w:val="16"/>
                <w:szCs w:val="16"/>
              </w:rPr>
              <w:t xml:space="preserve">Publish a six monthly </w:t>
            </w:r>
            <w:r w:rsidR="005D4D16" w:rsidRPr="00AC7279">
              <w:rPr>
                <w:sz w:val="16"/>
                <w:szCs w:val="16"/>
              </w:rPr>
              <w:t>‘</w:t>
            </w:r>
            <w:r w:rsidRPr="00AC7279">
              <w:rPr>
                <w:sz w:val="16"/>
                <w:szCs w:val="16"/>
              </w:rPr>
              <w:t>statement of opportunities</w:t>
            </w:r>
            <w:r w:rsidR="005D4D16" w:rsidRPr="00AC7279">
              <w:rPr>
                <w:sz w:val="16"/>
                <w:szCs w:val="16"/>
              </w:rPr>
              <w:t>’</w:t>
            </w:r>
            <w:r w:rsidRPr="00AC7279">
              <w:rPr>
                <w:sz w:val="16"/>
                <w:szCs w:val="16"/>
              </w:rPr>
              <w:t xml:space="preserve"> that sets out the forward schedule</w:t>
            </w:r>
            <w:r w:rsidR="00C82DAE" w:rsidRPr="00AC7279">
              <w:rPr>
                <w:sz w:val="16"/>
                <w:szCs w:val="16"/>
              </w:rPr>
              <w:t xml:space="preserve"> for ACC</w:t>
            </w:r>
            <w:r w:rsidR="007D5AEF" w:rsidRPr="00AC7279">
              <w:rPr>
                <w:sz w:val="16"/>
                <w:szCs w:val="16"/>
              </w:rPr>
              <w:t>U</w:t>
            </w:r>
            <w:r w:rsidR="00C82DAE" w:rsidRPr="00AC7279">
              <w:rPr>
                <w:sz w:val="16"/>
                <w:szCs w:val="16"/>
              </w:rPr>
              <w:t xml:space="preserve"> delivery</w:t>
            </w:r>
            <w:r w:rsidRPr="00AC7279">
              <w:rPr>
                <w:sz w:val="16"/>
                <w:szCs w:val="16"/>
              </w:rPr>
              <w:t>, availability of ACCUs in the secondary market and indicative demand and prices.</w:t>
            </w:r>
          </w:p>
        </w:tc>
        <w:tc>
          <w:tcPr>
            <w:tcW w:w="2542" w:type="dxa"/>
            <w:gridSpan w:val="2"/>
          </w:tcPr>
          <w:p w14:paraId="508934F4" w14:textId="32F1C042" w:rsidR="00024D18" w:rsidRPr="00AC7279" w:rsidRDefault="00024D18" w:rsidP="009C33DE">
            <w:pPr>
              <w:rPr>
                <w:sz w:val="16"/>
                <w:szCs w:val="16"/>
              </w:rPr>
            </w:pPr>
            <w:r w:rsidRPr="00AC7279">
              <w:rPr>
                <w:sz w:val="16"/>
                <w:szCs w:val="16"/>
              </w:rPr>
              <w:t xml:space="preserve">Increases administration costs to CER. May raise confidentiality concerns with </w:t>
            </w:r>
            <w:r w:rsidR="00221E4E">
              <w:rPr>
                <w:sz w:val="16"/>
                <w:szCs w:val="16"/>
              </w:rPr>
              <w:t xml:space="preserve">scheme </w:t>
            </w:r>
            <w:r w:rsidRPr="00AC7279">
              <w:rPr>
                <w:sz w:val="16"/>
                <w:szCs w:val="16"/>
              </w:rPr>
              <w:t>participants.</w:t>
            </w:r>
          </w:p>
        </w:tc>
        <w:tc>
          <w:tcPr>
            <w:tcW w:w="2399" w:type="dxa"/>
          </w:tcPr>
          <w:p w14:paraId="3AC1633C" w14:textId="2DC26755" w:rsidR="00024D18" w:rsidRPr="00AC7279" w:rsidRDefault="001F579B" w:rsidP="009C33DE">
            <w:pPr>
              <w:rPr>
                <w:sz w:val="16"/>
                <w:szCs w:val="16"/>
              </w:rPr>
            </w:pPr>
            <w:r w:rsidRPr="00AC7279">
              <w:rPr>
                <w:sz w:val="16"/>
                <w:szCs w:val="16"/>
              </w:rPr>
              <w:t xml:space="preserve">Improves the operation of the secondary market and decreases costs and risks for </w:t>
            </w:r>
            <w:r w:rsidR="00221E4E">
              <w:rPr>
                <w:sz w:val="16"/>
                <w:szCs w:val="16"/>
              </w:rPr>
              <w:t xml:space="preserve">scheme </w:t>
            </w:r>
            <w:r w:rsidRPr="00AC7279">
              <w:rPr>
                <w:sz w:val="16"/>
                <w:szCs w:val="16"/>
              </w:rPr>
              <w:t>participants.</w:t>
            </w:r>
          </w:p>
        </w:tc>
        <w:tc>
          <w:tcPr>
            <w:tcW w:w="2400" w:type="dxa"/>
          </w:tcPr>
          <w:p w14:paraId="2808D289" w14:textId="77777777" w:rsidR="00024D18" w:rsidRPr="00AC7279" w:rsidRDefault="001F579B" w:rsidP="009C33DE">
            <w:pPr>
              <w:rPr>
                <w:sz w:val="16"/>
                <w:szCs w:val="16"/>
              </w:rPr>
            </w:pPr>
            <w:r w:rsidRPr="00AC7279">
              <w:rPr>
                <w:sz w:val="16"/>
                <w:szCs w:val="16"/>
              </w:rPr>
              <w:t>An effective secondary market can provide an investment signal for more ERF projects and abatement.</w:t>
            </w:r>
          </w:p>
        </w:tc>
        <w:tc>
          <w:tcPr>
            <w:tcW w:w="2117" w:type="dxa"/>
          </w:tcPr>
          <w:p w14:paraId="75818E29" w14:textId="77777777" w:rsidR="00024D18" w:rsidRPr="00AC7279" w:rsidRDefault="001F579B" w:rsidP="009C33DE">
            <w:pPr>
              <w:rPr>
                <w:sz w:val="16"/>
                <w:szCs w:val="16"/>
              </w:rPr>
            </w:pPr>
            <w:r w:rsidRPr="00AC7279">
              <w:rPr>
                <w:sz w:val="16"/>
                <w:szCs w:val="16"/>
              </w:rPr>
              <w:t>Increases transparency.</w:t>
            </w:r>
          </w:p>
        </w:tc>
        <w:tc>
          <w:tcPr>
            <w:tcW w:w="2120" w:type="dxa"/>
          </w:tcPr>
          <w:p w14:paraId="0637A42C" w14:textId="77777777" w:rsidR="001F579B" w:rsidRPr="00AC7279" w:rsidRDefault="00024D18" w:rsidP="009C33DE">
            <w:pPr>
              <w:rPr>
                <w:sz w:val="16"/>
                <w:szCs w:val="16"/>
              </w:rPr>
            </w:pPr>
            <w:r w:rsidRPr="00AC7279">
              <w:rPr>
                <w:sz w:val="16"/>
                <w:szCs w:val="16"/>
              </w:rPr>
              <w:t>Change to ANREU Act and ANREU regulations</w:t>
            </w:r>
          </w:p>
          <w:p w14:paraId="1FA1E768" w14:textId="77777777" w:rsidR="00024D18" w:rsidRPr="00AC7279" w:rsidRDefault="001F579B" w:rsidP="009C33DE">
            <w:pPr>
              <w:rPr>
                <w:sz w:val="16"/>
                <w:szCs w:val="16"/>
              </w:rPr>
            </w:pPr>
            <w:r w:rsidRPr="00AC7279">
              <w:rPr>
                <w:sz w:val="16"/>
                <w:szCs w:val="16"/>
              </w:rPr>
              <w:t>CER</w:t>
            </w:r>
          </w:p>
        </w:tc>
      </w:tr>
    </w:tbl>
    <w:p w14:paraId="73CBFC09" w14:textId="77777777" w:rsidR="00843754" w:rsidRPr="005206CA" w:rsidRDefault="00843754"/>
    <w:tbl>
      <w:tblPr>
        <w:tblStyle w:val="TableGrid"/>
        <w:tblpPr w:leftFromText="180" w:rightFromText="180" w:vertAnchor="text" w:tblpY="1"/>
        <w:tblOverlap w:val="never"/>
        <w:tblW w:w="15107"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805"/>
        <w:gridCol w:w="2724"/>
        <w:gridCol w:w="2470"/>
        <w:gridCol w:w="72"/>
        <w:gridCol w:w="2399"/>
        <w:gridCol w:w="2400"/>
        <w:gridCol w:w="2117"/>
        <w:gridCol w:w="2120"/>
      </w:tblGrid>
      <w:tr w:rsidR="00843754" w:rsidRPr="005206CA" w14:paraId="78FB9939" w14:textId="77777777" w:rsidTr="00843754">
        <w:trPr>
          <w:cnfStyle w:val="100000000000" w:firstRow="1" w:lastRow="0" w:firstColumn="0" w:lastColumn="0" w:oddVBand="0" w:evenVBand="0" w:oddHBand="0" w:evenHBand="0" w:firstRowFirstColumn="0" w:firstRowLastColumn="0" w:lastRowFirstColumn="0" w:lastRowLastColumn="0"/>
          <w:trHeight w:val="286"/>
        </w:trPr>
        <w:tc>
          <w:tcPr>
            <w:tcW w:w="805" w:type="dxa"/>
            <w:vMerge w:val="restart"/>
            <w:shd w:val="clear" w:color="auto" w:fill="159DCE"/>
          </w:tcPr>
          <w:p w14:paraId="1879298D" w14:textId="41912EEC" w:rsidR="00843754" w:rsidRPr="005206CA" w:rsidRDefault="00843754" w:rsidP="00843754">
            <w:pPr>
              <w:rPr>
                <w:b/>
                <w:sz w:val="16"/>
                <w:szCs w:val="16"/>
              </w:rPr>
            </w:pPr>
          </w:p>
        </w:tc>
        <w:tc>
          <w:tcPr>
            <w:tcW w:w="2724" w:type="dxa"/>
            <w:vMerge w:val="restart"/>
            <w:shd w:val="clear" w:color="auto" w:fill="159DCE"/>
            <w:vAlign w:val="center"/>
          </w:tcPr>
          <w:p w14:paraId="7B3BBD37" w14:textId="56360435" w:rsidR="00843754" w:rsidRPr="005206CA" w:rsidRDefault="00843754" w:rsidP="00AC7279">
            <w:pPr>
              <w:spacing w:after="0"/>
              <w:rPr>
                <w:sz w:val="16"/>
                <w:szCs w:val="16"/>
              </w:rPr>
            </w:pPr>
            <w:r w:rsidRPr="005206CA">
              <w:rPr>
                <w:b/>
                <w:color w:val="FFFFFF" w:themeColor="background1"/>
                <w:sz w:val="16"/>
                <w:szCs w:val="16"/>
              </w:rPr>
              <w:t>RECOMMENDATION</w:t>
            </w:r>
          </w:p>
        </w:tc>
        <w:tc>
          <w:tcPr>
            <w:tcW w:w="2470" w:type="dxa"/>
            <w:shd w:val="clear" w:color="auto" w:fill="159DCE"/>
            <w:vAlign w:val="center"/>
          </w:tcPr>
          <w:p w14:paraId="4B6F14FB" w14:textId="77777777" w:rsidR="00843754" w:rsidRPr="005206CA" w:rsidRDefault="00843754" w:rsidP="00AC7279">
            <w:pPr>
              <w:spacing w:after="0"/>
              <w:rPr>
                <w:sz w:val="16"/>
                <w:szCs w:val="16"/>
              </w:rPr>
            </w:pPr>
            <w:r w:rsidRPr="005206CA">
              <w:rPr>
                <w:b/>
                <w:color w:val="FFFFFF" w:themeColor="background1"/>
                <w:sz w:val="16"/>
                <w:szCs w:val="16"/>
              </w:rPr>
              <w:t>ECONOMIC EFFICIENCY</w:t>
            </w:r>
          </w:p>
        </w:tc>
        <w:tc>
          <w:tcPr>
            <w:tcW w:w="2471" w:type="dxa"/>
            <w:gridSpan w:val="2"/>
            <w:shd w:val="clear" w:color="auto" w:fill="159DCE"/>
            <w:vAlign w:val="center"/>
          </w:tcPr>
          <w:p w14:paraId="7A4CF25A" w14:textId="6A61F7DF" w:rsidR="00843754" w:rsidRPr="005206CA" w:rsidRDefault="00843754" w:rsidP="00AC7279">
            <w:pPr>
              <w:spacing w:after="0"/>
              <w:rPr>
                <w:sz w:val="16"/>
                <w:szCs w:val="16"/>
              </w:rPr>
            </w:pPr>
          </w:p>
        </w:tc>
        <w:tc>
          <w:tcPr>
            <w:tcW w:w="2400" w:type="dxa"/>
            <w:vMerge w:val="restart"/>
            <w:shd w:val="clear" w:color="auto" w:fill="159DCE"/>
            <w:vAlign w:val="center"/>
          </w:tcPr>
          <w:p w14:paraId="74FA4D7E" w14:textId="1761F345" w:rsidR="00843754" w:rsidRPr="005206CA" w:rsidRDefault="00843754" w:rsidP="00AC7279">
            <w:pPr>
              <w:spacing w:after="0"/>
              <w:rPr>
                <w:sz w:val="16"/>
                <w:szCs w:val="16"/>
              </w:rPr>
            </w:pPr>
            <w:r w:rsidRPr="005206CA">
              <w:rPr>
                <w:b/>
                <w:color w:val="FFFFFF" w:themeColor="background1"/>
                <w:sz w:val="16"/>
                <w:szCs w:val="16"/>
              </w:rPr>
              <w:t>ENVIRONMENTAL EFFECTIVENESS</w:t>
            </w:r>
          </w:p>
        </w:tc>
        <w:tc>
          <w:tcPr>
            <w:tcW w:w="2117" w:type="dxa"/>
            <w:vMerge w:val="restart"/>
            <w:shd w:val="clear" w:color="auto" w:fill="159DCE"/>
            <w:vAlign w:val="center"/>
          </w:tcPr>
          <w:p w14:paraId="417BE311" w14:textId="23BE5CA2" w:rsidR="00843754" w:rsidRPr="005206CA" w:rsidRDefault="00843754" w:rsidP="00AC7279">
            <w:pPr>
              <w:spacing w:after="0"/>
              <w:rPr>
                <w:sz w:val="16"/>
                <w:szCs w:val="16"/>
              </w:rPr>
            </w:pPr>
            <w:r w:rsidRPr="005206CA">
              <w:rPr>
                <w:b/>
                <w:color w:val="FFFFFF" w:themeColor="background1"/>
                <w:sz w:val="16"/>
                <w:szCs w:val="16"/>
              </w:rPr>
              <w:t>EQUITY</w:t>
            </w:r>
          </w:p>
        </w:tc>
        <w:tc>
          <w:tcPr>
            <w:tcW w:w="2120" w:type="dxa"/>
            <w:vMerge w:val="restart"/>
            <w:shd w:val="clear" w:color="auto" w:fill="159DCE"/>
            <w:vAlign w:val="center"/>
          </w:tcPr>
          <w:p w14:paraId="48C2EC9A" w14:textId="7146BB6D" w:rsidR="00843754" w:rsidRPr="005206CA" w:rsidRDefault="00843754" w:rsidP="00AC7279">
            <w:pPr>
              <w:spacing w:after="0"/>
              <w:rPr>
                <w:sz w:val="16"/>
                <w:szCs w:val="16"/>
              </w:rPr>
            </w:pPr>
            <w:r w:rsidRPr="005206CA">
              <w:rPr>
                <w:b/>
                <w:color w:val="FFFFFF" w:themeColor="background1"/>
                <w:sz w:val="16"/>
                <w:szCs w:val="16"/>
              </w:rPr>
              <w:t>IMPLEMENTATION PROCESS</w:t>
            </w:r>
          </w:p>
        </w:tc>
      </w:tr>
      <w:tr w:rsidR="00843754" w:rsidRPr="005206CA" w14:paraId="3FCF57DD" w14:textId="77777777" w:rsidTr="00843754">
        <w:trPr>
          <w:cnfStyle w:val="000000100000" w:firstRow="0" w:lastRow="0" w:firstColumn="0" w:lastColumn="0" w:oddVBand="0" w:evenVBand="0" w:oddHBand="1" w:evenHBand="0" w:firstRowFirstColumn="0" w:firstRowLastColumn="0" w:lastRowFirstColumn="0" w:lastRowLastColumn="0"/>
          <w:trHeight w:val="285"/>
        </w:trPr>
        <w:tc>
          <w:tcPr>
            <w:tcW w:w="805" w:type="dxa"/>
            <w:vMerge/>
            <w:shd w:val="clear" w:color="auto" w:fill="159DCE"/>
          </w:tcPr>
          <w:p w14:paraId="7C8F7746" w14:textId="77777777" w:rsidR="00843754" w:rsidRPr="005206CA" w:rsidRDefault="00843754" w:rsidP="00843754">
            <w:pPr>
              <w:rPr>
                <w:b/>
                <w:sz w:val="16"/>
                <w:szCs w:val="16"/>
              </w:rPr>
            </w:pPr>
          </w:p>
        </w:tc>
        <w:tc>
          <w:tcPr>
            <w:tcW w:w="2724" w:type="dxa"/>
            <w:vMerge/>
            <w:shd w:val="clear" w:color="auto" w:fill="159DCE"/>
            <w:vAlign w:val="center"/>
          </w:tcPr>
          <w:p w14:paraId="26DFB0D7" w14:textId="77777777" w:rsidR="00843754" w:rsidRPr="005206CA" w:rsidRDefault="00843754" w:rsidP="00843754">
            <w:pPr>
              <w:rPr>
                <w:b/>
                <w:color w:val="FFFFFF" w:themeColor="background1"/>
                <w:sz w:val="16"/>
                <w:szCs w:val="16"/>
              </w:rPr>
            </w:pPr>
          </w:p>
        </w:tc>
        <w:tc>
          <w:tcPr>
            <w:tcW w:w="2470" w:type="dxa"/>
            <w:shd w:val="clear" w:color="auto" w:fill="159DCE"/>
            <w:vAlign w:val="center"/>
          </w:tcPr>
          <w:p w14:paraId="5D26D606" w14:textId="5A70F79C" w:rsidR="00843754" w:rsidRPr="005206CA" w:rsidRDefault="00843754" w:rsidP="00AC7279">
            <w:pPr>
              <w:spacing w:after="0"/>
              <w:rPr>
                <w:b/>
                <w:color w:val="FFFFFF" w:themeColor="background1"/>
                <w:sz w:val="16"/>
                <w:szCs w:val="16"/>
              </w:rPr>
            </w:pPr>
            <w:r w:rsidRPr="005206CA">
              <w:rPr>
                <w:b/>
                <w:color w:val="FFFFFF" w:themeColor="background1"/>
                <w:sz w:val="16"/>
                <w:szCs w:val="16"/>
              </w:rPr>
              <w:t>COSTS</w:t>
            </w:r>
          </w:p>
        </w:tc>
        <w:tc>
          <w:tcPr>
            <w:tcW w:w="2471" w:type="dxa"/>
            <w:gridSpan w:val="2"/>
            <w:shd w:val="clear" w:color="auto" w:fill="159DCE"/>
            <w:vAlign w:val="center"/>
          </w:tcPr>
          <w:p w14:paraId="6E8FFE0C" w14:textId="78867CDC" w:rsidR="00843754" w:rsidRPr="005206CA" w:rsidRDefault="00843754" w:rsidP="00AC7279">
            <w:pPr>
              <w:spacing w:after="0"/>
              <w:rPr>
                <w:b/>
                <w:color w:val="FFFFFF" w:themeColor="background1"/>
                <w:sz w:val="16"/>
                <w:szCs w:val="16"/>
              </w:rPr>
            </w:pPr>
            <w:r w:rsidRPr="005206CA">
              <w:rPr>
                <w:b/>
                <w:color w:val="FFFFFF" w:themeColor="background1"/>
                <w:sz w:val="16"/>
                <w:szCs w:val="16"/>
              </w:rPr>
              <w:t>BENEFITS</w:t>
            </w:r>
          </w:p>
        </w:tc>
        <w:tc>
          <w:tcPr>
            <w:tcW w:w="2400" w:type="dxa"/>
            <w:vMerge/>
            <w:shd w:val="clear" w:color="auto" w:fill="159DCE"/>
            <w:vAlign w:val="center"/>
          </w:tcPr>
          <w:p w14:paraId="2511F950" w14:textId="77777777" w:rsidR="00843754" w:rsidRPr="005206CA" w:rsidRDefault="00843754" w:rsidP="00843754">
            <w:pPr>
              <w:rPr>
                <w:b/>
                <w:color w:val="FFFFFF" w:themeColor="background1"/>
                <w:sz w:val="16"/>
                <w:szCs w:val="16"/>
              </w:rPr>
            </w:pPr>
          </w:p>
        </w:tc>
        <w:tc>
          <w:tcPr>
            <w:tcW w:w="2117" w:type="dxa"/>
            <w:vMerge/>
            <w:shd w:val="clear" w:color="auto" w:fill="159DCE"/>
            <w:vAlign w:val="center"/>
          </w:tcPr>
          <w:p w14:paraId="3D963BB8" w14:textId="77777777" w:rsidR="00843754" w:rsidRPr="005206CA" w:rsidRDefault="00843754" w:rsidP="00843754">
            <w:pPr>
              <w:rPr>
                <w:b/>
                <w:color w:val="FFFFFF" w:themeColor="background1"/>
                <w:sz w:val="16"/>
                <w:szCs w:val="16"/>
              </w:rPr>
            </w:pPr>
          </w:p>
        </w:tc>
        <w:tc>
          <w:tcPr>
            <w:tcW w:w="2120" w:type="dxa"/>
            <w:vMerge/>
            <w:shd w:val="clear" w:color="auto" w:fill="159DCE"/>
            <w:vAlign w:val="center"/>
          </w:tcPr>
          <w:p w14:paraId="477DCA86" w14:textId="77777777" w:rsidR="00843754" w:rsidRPr="005206CA" w:rsidRDefault="00843754" w:rsidP="00843754">
            <w:pPr>
              <w:rPr>
                <w:b/>
                <w:color w:val="FFFFFF" w:themeColor="background1"/>
                <w:sz w:val="16"/>
                <w:szCs w:val="16"/>
              </w:rPr>
            </w:pPr>
          </w:p>
        </w:tc>
      </w:tr>
      <w:tr w:rsidR="009C33DE" w:rsidRPr="005206CA" w14:paraId="150C030F"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5E18F6EE" w14:textId="4A290ACE"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_Ref497828317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24</w:t>
            </w:r>
            <w:r w:rsidRPr="00AC7279">
              <w:rPr>
                <w:b/>
                <w:sz w:val="16"/>
                <w:szCs w:val="16"/>
              </w:rPr>
              <w:fldChar w:fldCharType="end"/>
            </w:r>
          </w:p>
        </w:tc>
        <w:tc>
          <w:tcPr>
            <w:tcW w:w="2724" w:type="dxa"/>
          </w:tcPr>
          <w:p w14:paraId="7EC5FE65" w14:textId="77777777" w:rsidR="00024D18" w:rsidRPr="00AC7279" w:rsidDel="00EC2A2F" w:rsidRDefault="00024D18" w:rsidP="009C33DE">
            <w:pPr>
              <w:rPr>
                <w:sz w:val="16"/>
                <w:szCs w:val="16"/>
              </w:rPr>
            </w:pPr>
            <w:r w:rsidRPr="00AC7279">
              <w:rPr>
                <w:sz w:val="16"/>
                <w:szCs w:val="16"/>
              </w:rPr>
              <w:t xml:space="preserve">Investigate ways to further enhance </w:t>
            </w:r>
            <w:r w:rsidR="007C2F32" w:rsidRPr="00AC7279">
              <w:rPr>
                <w:sz w:val="16"/>
                <w:szCs w:val="16"/>
              </w:rPr>
              <w:t xml:space="preserve">CER’s </w:t>
            </w:r>
            <w:r w:rsidRPr="00AC7279">
              <w:rPr>
                <w:sz w:val="16"/>
                <w:szCs w:val="16"/>
              </w:rPr>
              <w:t xml:space="preserve">client services, particularly </w:t>
            </w:r>
            <w:r w:rsidR="001F579B" w:rsidRPr="00AC7279">
              <w:rPr>
                <w:sz w:val="16"/>
                <w:szCs w:val="16"/>
              </w:rPr>
              <w:t>when</w:t>
            </w:r>
            <w:r w:rsidRPr="00AC7279">
              <w:rPr>
                <w:sz w:val="16"/>
                <w:szCs w:val="16"/>
              </w:rPr>
              <w:t xml:space="preserve"> responding to </w:t>
            </w:r>
            <w:r w:rsidR="001F579B" w:rsidRPr="00AC7279">
              <w:rPr>
                <w:sz w:val="16"/>
                <w:szCs w:val="16"/>
              </w:rPr>
              <w:t xml:space="preserve">complex </w:t>
            </w:r>
            <w:r w:rsidRPr="00AC7279">
              <w:rPr>
                <w:sz w:val="16"/>
                <w:szCs w:val="16"/>
              </w:rPr>
              <w:t>enquiries.</w:t>
            </w:r>
          </w:p>
        </w:tc>
        <w:tc>
          <w:tcPr>
            <w:tcW w:w="2542" w:type="dxa"/>
            <w:gridSpan w:val="2"/>
          </w:tcPr>
          <w:p w14:paraId="0CBD6527" w14:textId="77777777" w:rsidR="00024D18" w:rsidRPr="00AC7279" w:rsidRDefault="00024D18" w:rsidP="009C33DE">
            <w:pPr>
              <w:rPr>
                <w:sz w:val="16"/>
                <w:szCs w:val="16"/>
              </w:rPr>
            </w:pPr>
            <w:r w:rsidRPr="00AC7279">
              <w:rPr>
                <w:sz w:val="16"/>
                <w:szCs w:val="16"/>
              </w:rPr>
              <w:t>Increases administration costs to CER.</w:t>
            </w:r>
          </w:p>
        </w:tc>
        <w:tc>
          <w:tcPr>
            <w:tcW w:w="2399" w:type="dxa"/>
          </w:tcPr>
          <w:p w14:paraId="58DE3167" w14:textId="77777777" w:rsidR="00024D18" w:rsidRPr="00AC7279" w:rsidRDefault="00024D18" w:rsidP="009C33DE">
            <w:pPr>
              <w:rPr>
                <w:sz w:val="16"/>
                <w:szCs w:val="16"/>
              </w:rPr>
            </w:pPr>
            <w:r w:rsidRPr="00AC7279">
              <w:rPr>
                <w:sz w:val="16"/>
                <w:szCs w:val="16"/>
              </w:rPr>
              <w:t>May reduce transaction costs and increase participation.</w:t>
            </w:r>
          </w:p>
        </w:tc>
        <w:tc>
          <w:tcPr>
            <w:tcW w:w="2400" w:type="dxa"/>
          </w:tcPr>
          <w:p w14:paraId="5F1A2B03" w14:textId="77777777" w:rsidR="00024D18" w:rsidRPr="00AC7279" w:rsidRDefault="00024D18" w:rsidP="009C33DE">
            <w:pPr>
              <w:rPr>
                <w:sz w:val="16"/>
                <w:szCs w:val="16"/>
              </w:rPr>
            </w:pPr>
            <w:r w:rsidRPr="00AC7279">
              <w:rPr>
                <w:sz w:val="16"/>
                <w:szCs w:val="16"/>
              </w:rPr>
              <w:t>NA</w:t>
            </w:r>
          </w:p>
        </w:tc>
        <w:tc>
          <w:tcPr>
            <w:tcW w:w="2117" w:type="dxa"/>
          </w:tcPr>
          <w:p w14:paraId="09F0EFD4" w14:textId="77777777" w:rsidR="00024D18" w:rsidRPr="00AC7279" w:rsidRDefault="00024D18" w:rsidP="009C33DE">
            <w:pPr>
              <w:rPr>
                <w:sz w:val="16"/>
                <w:szCs w:val="16"/>
              </w:rPr>
            </w:pPr>
            <w:r w:rsidRPr="00AC7279">
              <w:rPr>
                <w:sz w:val="16"/>
                <w:szCs w:val="16"/>
              </w:rPr>
              <w:t>Improved information and transparency for clients.</w:t>
            </w:r>
          </w:p>
        </w:tc>
        <w:tc>
          <w:tcPr>
            <w:tcW w:w="2120" w:type="dxa"/>
          </w:tcPr>
          <w:p w14:paraId="7B2D5468" w14:textId="77777777" w:rsidR="00024D18" w:rsidRPr="00AC7279" w:rsidRDefault="00024D18" w:rsidP="009C33DE">
            <w:pPr>
              <w:rPr>
                <w:sz w:val="16"/>
                <w:szCs w:val="16"/>
              </w:rPr>
            </w:pPr>
            <w:r w:rsidRPr="00AC7279">
              <w:rPr>
                <w:sz w:val="16"/>
                <w:szCs w:val="16"/>
              </w:rPr>
              <w:t>CER</w:t>
            </w:r>
          </w:p>
        </w:tc>
      </w:tr>
      <w:tr w:rsidR="009C33DE" w:rsidRPr="005206CA" w14:paraId="1FCD5B1B" w14:textId="77777777" w:rsidTr="00AC7279">
        <w:trPr>
          <w:cnfStyle w:val="000000100000" w:firstRow="0" w:lastRow="0" w:firstColumn="0" w:lastColumn="0" w:oddVBand="0" w:evenVBand="0" w:oddHBand="1" w:evenHBand="0" w:firstRowFirstColumn="0" w:firstRowLastColumn="0" w:lastRowFirstColumn="0" w:lastRowLastColumn="0"/>
          <w:trHeight w:val="227"/>
        </w:trPr>
        <w:tc>
          <w:tcPr>
            <w:tcW w:w="805" w:type="dxa"/>
          </w:tcPr>
          <w:p w14:paraId="08DE11DF" w14:textId="23905056"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_Ref497828323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25</w:t>
            </w:r>
            <w:r w:rsidRPr="00AC7279">
              <w:rPr>
                <w:b/>
                <w:sz w:val="16"/>
                <w:szCs w:val="16"/>
              </w:rPr>
              <w:fldChar w:fldCharType="end"/>
            </w:r>
          </w:p>
        </w:tc>
        <w:tc>
          <w:tcPr>
            <w:tcW w:w="2724" w:type="dxa"/>
          </w:tcPr>
          <w:p w14:paraId="4A604D10" w14:textId="77777777" w:rsidR="00024D18" w:rsidRPr="00AC7279" w:rsidRDefault="00024D18" w:rsidP="009C33DE">
            <w:pPr>
              <w:rPr>
                <w:sz w:val="16"/>
                <w:szCs w:val="16"/>
              </w:rPr>
            </w:pPr>
            <w:r w:rsidRPr="00AC7279">
              <w:rPr>
                <w:sz w:val="16"/>
                <w:szCs w:val="16"/>
              </w:rPr>
              <w:t>Expand the CER’s regulatory toolkit to include issuing penalty infringement notices.</w:t>
            </w:r>
          </w:p>
        </w:tc>
        <w:tc>
          <w:tcPr>
            <w:tcW w:w="2542" w:type="dxa"/>
            <w:gridSpan w:val="2"/>
          </w:tcPr>
          <w:p w14:paraId="6B79295D" w14:textId="77777777" w:rsidR="00024D18" w:rsidRPr="00AC7279" w:rsidRDefault="00024D18" w:rsidP="009C33DE">
            <w:pPr>
              <w:rPr>
                <w:sz w:val="16"/>
                <w:szCs w:val="16"/>
              </w:rPr>
            </w:pPr>
            <w:r w:rsidRPr="00AC7279">
              <w:rPr>
                <w:sz w:val="16"/>
                <w:szCs w:val="16"/>
              </w:rPr>
              <w:t>NA</w:t>
            </w:r>
            <w:r w:rsidRPr="00AC7279" w:rsidDel="00932DA4">
              <w:rPr>
                <w:sz w:val="16"/>
                <w:szCs w:val="16"/>
              </w:rPr>
              <w:t xml:space="preserve"> </w:t>
            </w:r>
          </w:p>
        </w:tc>
        <w:tc>
          <w:tcPr>
            <w:tcW w:w="2399" w:type="dxa"/>
          </w:tcPr>
          <w:p w14:paraId="2234CAB9" w14:textId="77777777" w:rsidR="00024D18" w:rsidRPr="00AC7279" w:rsidRDefault="00024D18" w:rsidP="009C33DE">
            <w:pPr>
              <w:rPr>
                <w:sz w:val="16"/>
                <w:szCs w:val="16"/>
              </w:rPr>
            </w:pPr>
            <w:r w:rsidRPr="00AC7279">
              <w:rPr>
                <w:sz w:val="16"/>
                <w:szCs w:val="16"/>
              </w:rPr>
              <w:t>Should reduce compliance costs by reducing need to initiate court proceedings.</w:t>
            </w:r>
          </w:p>
        </w:tc>
        <w:tc>
          <w:tcPr>
            <w:tcW w:w="2400" w:type="dxa"/>
          </w:tcPr>
          <w:p w14:paraId="5E51F173" w14:textId="77777777" w:rsidR="00024D18" w:rsidRPr="00AC7279" w:rsidRDefault="00024D18" w:rsidP="009C33DE">
            <w:pPr>
              <w:rPr>
                <w:sz w:val="16"/>
                <w:szCs w:val="16"/>
              </w:rPr>
            </w:pPr>
            <w:r w:rsidRPr="00AC7279">
              <w:rPr>
                <w:sz w:val="16"/>
                <w:szCs w:val="16"/>
              </w:rPr>
              <w:t>NA</w:t>
            </w:r>
            <w:r w:rsidRPr="00AC7279" w:rsidDel="00554764">
              <w:rPr>
                <w:sz w:val="16"/>
                <w:szCs w:val="16"/>
              </w:rPr>
              <w:t xml:space="preserve"> </w:t>
            </w:r>
          </w:p>
        </w:tc>
        <w:tc>
          <w:tcPr>
            <w:tcW w:w="2117" w:type="dxa"/>
          </w:tcPr>
          <w:p w14:paraId="08A8A53E" w14:textId="77777777" w:rsidR="00024D18" w:rsidRPr="00AC7279" w:rsidRDefault="00024D18" w:rsidP="009C33DE">
            <w:pPr>
              <w:rPr>
                <w:sz w:val="16"/>
                <w:szCs w:val="16"/>
              </w:rPr>
            </w:pPr>
            <w:r w:rsidRPr="00AC7279">
              <w:rPr>
                <w:sz w:val="16"/>
                <w:szCs w:val="16"/>
              </w:rPr>
              <w:t>NA</w:t>
            </w:r>
            <w:r w:rsidRPr="00AC7279" w:rsidDel="00932DA4">
              <w:rPr>
                <w:sz w:val="16"/>
                <w:szCs w:val="16"/>
              </w:rPr>
              <w:t xml:space="preserve"> </w:t>
            </w:r>
          </w:p>
        </w:tc>
        <w:tc>
          <w:tcPr>
            <w:tcW w:w="2120" w:type="dxa"/>
          </w:tcPr>
          <w:p w14:paraId="48D7F48B" w14:textId="186AD29B" w:rsidR="00024D18" w:rsidRPr="00AC7279" w:rsidRDefault="00024D18" w:rsidP="009C33DE">
            <w:pPr>
              <w:rPr>
                <w:sz w:val="16"/>
                <w:szCs w:val="16"/>
              </w:rPr>
            </w:pPr>
            <w:r w:rsidRPr="00AC7279">
              <w:rPr>
                <w:sz w:val="16"/>
                <w:szCs w:val="16"/>
              </w:rPr>
              <w:t xml:space="preserve">Change CFI Act </w:t>
            </w:r>
          </w:p>
        </w:tc>
      </w:tr>
      <w:tr w:rsidR="009C33DE" w:rsidRPr="005206CA" w14:paraId="4E75E012" w14:textId="77777777" w:rsidTr="00AC7279">
        <w:trPr>
          <w:cnfStyle w:val="000000010000" w:firstRow="0" w:lastRow="0" w:firstColumn="0" w:lastColumn="0" w:oddVBand="0" w:evenVBand="0" w:oddHBand="0" w:evenHBand="1" w:firstRowFirstColumn="0" w:firstRowLastColumn="0" w:lastRowFirstColumn="0" w:lastRowLastColumn="0"/>
          <w:trHeight w:val="227"/>
        </w:trPr>
        <w:tc>
          <w:tcPr>
            <w:tcW w:w="805" w:type="dxa"/>
          </w:tcPr>
          <w:p w14:paraId="242CCFC9" w14:textId="7266C25D" w:rsidR="00024D18" w:rsidRPr="00AC7279" w:rsidRDefault="00E03BD3" w:rsidP="009C33DE">
            <w:pPr>
              <w:rPr>
                <w:b/>
                <w:sz w:val="16"/>
                <w:szCs w:val="16"/>
              </w:rPr>
            </w:pPr>
            <w:r w:rsidRPr="00AC7279">
              <w:rPr>
                <w:b/>
                <w:sz w:val="16"/>
                <w:szCs w:val="16"/>
              </w:rPr>
              <w:fldChar w:fldCharType="begin"/>
            </w:r>
            <w:r w:rsidRPr="00AC7279">
              <w:rPr>
                <w:b/>
                <w:sz w:val="16"/>
                <w:szCs w:val="16"/>
              </w:rPr>
              <w:instrText xml:space="preserve"> REF _Ref497828341 \h </w:instrText>
            </w:r>
            <w:r w:rsidR="0002132E" w:rsidRPr="00AC7279">
              <w:rPr>
                <w:b/>
                <w:sz w:val="16"/>
                <w:szCs w:val="16"/>
              </w:rPr>
              <w:instrText xml:space="preserve"> \* MERGEFORMAT </w:instrText>
            </w:r>
            <w:r w:rsidRPr="00AC7279">
              <w:rPr>
                <w:b/>
                <w:sz w:val="16"/>
                <w:szCs w:val="16"/>
              </w:rPr>
            </w:r>
            <w:r w:rsidRPr="00AC7279">
              <w:rPr>
                <w:b/>
                <w:sz w:val="16"/>
                <w:szCs w:val="16"/>
              </w:rPr>
              <w:fldChar w:fldCharType="separate"/>
            </w:r>
            <w:r w:rsidR="00FA2002" w:rsidRPr="00FA2002">
              <w:rPr>
                <w:rFonts w:cs="Arial"/>
                <w:sz w:val="16"/>
                <w:szCs w:val="16"/>
              </w:rPr>
              <w:t xml:space="preserve">R. </w:t>
            </w:r>
            <w:r w:rsidR="00FA2002" w:rsidRPr="00FA2002">
              <w:rPr>
                <w:rFonts w:cs="Arial"/>
                <w:noProof/>
                <w:sz w:val="16"/>
                <w:szCs w:val="16"/>
              </w:rPr>
              <w:t>26</w:t>
            </w:r>
            <w:r w:rsidRPr="00AC7279">
              <w:rPr>
                <w:b/>
                <w:sz w:val="16"/>
                <w:szCs w:val="16"/>
              </w:rPr>
              <w:fldChar w:fldCharType="end"/>
            </w:r>
            <w:r w:rsidR="001F579B" w:rsidRPr="00AC7279">
              <w:rPr>
                <w:b/>
                <w:sz w:val="16"/>
                <w:szCs w:val="16"/>
              </w:rPr>
              <w:t xml:space="preserve"> </w:t>
            </w:r>
          </w:p>
        </w:tc>
        <w:tc>
          <w:tcPr>
            <w:tcW w:w="2724" w:type="dxa"/>
          </w:tcPr>
          <w:p w14:paraId="662C159A" w14:textId="77777777" w:rsidR="00024D18" w:rsidRPr="00AC7279" w:rsidRDefault="001F579B" w:rsidP="009C33DE">
            <w:pPr>
              <w:rPr>
                <w:sz w:val="16"/>
                <w:szCs w:val="16"/>
              </w:rPr>
            </w:pPr>
            <w:r w:rsidRPr="00AC7279">
              <w:rPr>
                <w:sz w:val="16"/>
                <w:szCs w:val="16"/>
                <w:lang w:eastAsia="en-AU"/>
              </w:rPr>
              <w:t xml:space="preserve">Allocate </w:t>
            </w:r>
            <w:r w:rsidR="00024D18" w:rsidRPr="00AC7279">
              <w:rPr>
                <w:sz w:val="16"/>
                <w:szCs w:val="16"/>
                <w:lang w:eastAsia="en-AU"/>
              </w:rPr>
              <w:t xml:space="preserve">additional </w:t>
            </w:r>
            <w:r w:rsidR="007C0998" w:rsidRPr="00AC7279">
              <w:rPr>
                <w:sz w:val="16"/>
                <w:szCs w:val="16"/>
                <w:lang w:eastAsia="en-AU"/>
              </w:rPr>
              <w:t>fund</w:t>
            </w:r>
            <w:r w:rsidRPr="00AC7279">
              <w:rPr>
                <w:sz w:val="16"/>
                <w:szCs w:val="16"/>
                <w:lang w:eastAsia="en-AU"/>
              </w:rPr>
              <w:t>s</w:t>
            </w:r>
            <w:r w:rsidR="00024D18" w:rsidRPr="00AC7279">
              <w:rPr>
                <w:sz w:val="16"/>
                <w:szCs w:val="16"/>
                <w:lang w:eastAsia="en-AU"/>
              </w:rPr>
              <w:t xml:space="preserve"> to the Department to </w:t>
            </w:r>
            <w:r w:rsidRPr="00AC7279">
              <w:rPr>
                <w:sz w:val="16"/>
                <w:szCs w:val="16"/>
                <w:lang w:eastAsia="en-AU"/>
              </w:rPr>
              <w:t>collaborate</w:t>
            </w:r>
            <w:r w:rsidR="00024D18" w:rsidRPr="00AC7279">
              <w:rPr>
                <w:sz w:val="16"/>
                <w:szCs w:val="16"/>
                <w:lang w:eastAsia="en-AU"/>
              </w:rPr>
              <w:t xml:space="preserve"> with research organisations and stakeholders on </w:t>
            </w:r>
            <w:r w:rsidRPr="00AC7279">
              <w:rPr>
                <w:sz w:val="16"/>
                <w:szCs w:val="16"/>
                <w:lang w:eastAsia="en-AU"/>
              </w:rPr>
              <w:t xml:space="preserve">new methods </w:t>
            </w:r>
            <w:r w:rsidR="00024D18" w:rsidRPr="00AC7279">
              <w:rPr>
                <w:sz w:val="16"/>
                <w:szCs w:val="16"/>
                <w:lang w:eastAsia="en-AU"/>
              </w:rPr>
              <w:t>for the land sector</w:t>
            </w:r>
            <w:r w:rsidR="00BE7301" w:rsidRPr="00AC7279">
              <w:rPr>
                <w:sz w:val="16"/>
                <w:szCs w:val="16"/>
                <w:lang w:eastAsia="en-AU"/>
              </w:rPr>
              <w:t xml:space="preserve"> and require rural </w:t>
            </w:r>
            <w:r w:rsidR="00517D39" w:rsidRPr="00AC7279">
              <w:rPr>
                <w:sz w:val="16"/>
                <w:szCs w:val="16"/>
                <w:lang w:eastAsia="en-AU"/>
              </w:rPr>
              <w:t xml:space="preserve">research and </w:t>
            </w:r>
            <w:r w:rsidR="00BE7301" w:rsidRPr="00AC7279">
              <w:rPr>
                <w:sz w:val="16"/>
                <w:szCs w:val="16"/>
                <w:lang w:eastAsia="en-AU"/>
              </w:rPr>
              <w:t xml:space="preserve">development corporations </w:t>
            </w:r>
            <w:r w:rsidR="00BE7301" w:rsidRPr="00AC7279">
              <w:rPr>
                <w:sz w:val="16"/>
                <w:szCs w:val="16"/>
                <w:lang w:val="en-US"/>
              </w:rPr>
              <w:t>include emissions reductions as priorities for their R&amp;D work</w:t>
            </w:r>
            <w:r w:rsidR="00024D18" w:rsidRPr="00AC7279">
              <w:rPr>
                <w:sz w:val="16"/>
                <w:szCs w:val="16"/>
                <w:lang w:eastAsia="en-AU"/>
              </w:rPr>
              <w:t xml:space="preserve">. </w:t>
            </w:r>
          </w:p>
        </w:tc>
        <w:tc>
          <w:tcPr>
            <w:tcW w:w="2542" w:type="dxa"/>
            <w:gridSpan w:val="2"/>
          </w:tcPr>
          <w:p w14:paraId="4445AF01" w14:textId="77777777" w:rsidR="00024D18" w:rsidRPr="00AC7279" w:rsidDel="009C7F17" w:rsidRDefault="00024D18" w:rsidP="009C33DE">
            <w:pPr>
              <w:rPr>
                <w:sz w:val="16"/>
                <w:szCs w:val="16"/>
              </w:rPr>
            </w:pPr>
            <w:r w:rsidRPr="00AC7279">
              <w:rPr>
                <w:sz w:val="16"/>
                <w:szCs w:val="16"/>
              </w:rPr>
              <w:t>Increases costs for Government</w:t>
            </w:r>
            <w:r w:rsidR="00BE7301" w:rsidRPr="00AC7279">
              <w:rPr>
                <w:sz w:val="16"/>
                <w:szCs w:val="16"/>
              </w:rPr>
              <w:t xml:space="preserve"> and could redistribute existing funds from other areas</w:t>
            </w:r>
            <w:r w:rsidRPr="00AC7279">
              <w:rPr>
                <w:sz w:val="16"/>
                <w:szCs w:val="16"/>
              </w:rPr>
              <w:t>.</w:t>
            </w:r>
          </w:p>
        </w:tc>
        <w:tc>
          <w:tcPr>
            <w:tcW w:w="2399" w:type="dxa"/>
          </w:tcPr>
          <w:p w14:paraId="40578F15" w14:textId="77777777" w:rsidR="00024D18" w:rsidRPr="00AC7279" w:rsidRDefault="00024D18" w:rsidP="009C33DE">
            <w:pPr>
              <w:rPr>
                <w:sz w:val="16"/>
                <w:szCs w:val="16"/>
              </w:rPr>
            </w:pPr>
            <w:r w:rsidRPr="00AC7279">
              <w:rPr>
                <w:sz w:val="16"/>
                <w:szCs w:val="16"/>
              </w:rPr>
              <w:t>Could lead to lower cost abatement opportunities.</w:t>
            </w:r>
          </w:p>
        </w:tc>
        <w:tc>
          <w:tcPr>
            <w:tcW w:w="2400" w:type="dxa"/>
          </w:tcPr>
          <w:p w14:paraId="7A18EAAC" w14:textId="77777777" w:rsidR="00024D18" w:rsidRPr="00AC7279" w:rsidDel="00CB098F" w:rsidRDefault="00024D18" w:rsidP="009C33DE">
            <w:pPr>
              <w:rPr>
                <w:sz w:val="16"/>
                <w:szCs w:val="16"/>
              </w:rPr>
            </w:pPr>
            <w:r w:rsidRPr="00AC7279">
              <w:rPr>
                <w:sz w:val="16"/>
                <w:szCs w:val="16"/>
              </w:rPr>
              <w:t xml:space="preserve">May increase abatement through new methods. </w:t>
            </w:r>
          </w:p>
        </w:tc>
        <w:tc>
          <w:tcPr>
            <w:tcW w:w="2117" w:type="dxa"/>
          </w:tcPr>
          <w:p w14:paraId="28EFC4B8" w14:textId="77777777" w:rsidR="00024D18" w:rsidRPr="00AC7279" w:rsidRDefault="00024D18" w:rsidP="009C33DE">
            <w:pPr>
              <w:rPr>
                <w:sz w:val="16"/>
                <w:szCs w:val="16"/>
              </w:rPr>
            </w:pPr>
            <w:r w:rsidRPr="00AC7279">
              <w:rPr>
                <w:sz w:val="16"/>
                <w:szCs w:val="16"/>
              </w:rPr>
              <w:t xml:space="preserve">Increases stakeholder engagement and participation. </w:t>
            </w:r>
          </w:p>
          <w:p w14:paraId="115A809E" w14:textId="77777777" w:rsidR="00024D18" w:rsidRPr="00AC7279" w:rsidRDefault="00024D18" w:rsidP="009C33DE">
            <w:pPr>
              <w:rPr>
                <w:sz w:val="16"/>
                <w:szCs w:val="16"/>
              </w:rPr>
            </w:pPr>
            <w:r w:rsidRPr="00AC7279">
              <w:rPr>
                <w:sz w:val="16"/>
                <w:szCs w:val="16"/>
              </w:rPr>
              <w:t>May have equity implications if there are less funds available for other programs.</w:t>
            </w:r>
          </w:p>
        </w:tc>
        <w:tc>
          <w:tcPr>
            <w:tcW w:w="2120" w:type="dxa"/>
          </w:tcPr>
          <w:p w14:paraId="5804E299" w14:textId="61704C39" w:rsidR="00024D18" w:rsidRPr="00AC7279" w:rsidRDefault="00BE7301" w:rsidP="009C33DE">
            <w:pPr>
              <w:rPr>
                <w:sz w:val="16"/>
                <w:szCs w:val="16"/>
              </w:rPr>
            </w:pPr>
            <w:r w:rsidRPr="00AC7279">
              <w:rPr>
                <w:sz w:val="16"/>
                <w:szCs w:val="16"/>
              </w:rPr>
              <w:t xml:space="preserve">Australian Government and rural </w:t>
            </w:r>
            <w:r w:rsidR="00BA471C" w:rsidRPr="00AC7279">
              <w:rPr>
                <w:sz w:val="16"/>
                <w:szCs w:val="16"/>
              </w:rPr>
              <w:t xml:space="preserve">research and </w:t>
            </w:r>
            <w:r w:rsidRPr="00AC7279">
              <w:rPr>
                <w:sz w:val="16"/>
                <w:szCs w:val="16"/>
              </w:rPr>
              <w:t>development corporations</w:t>
            </w:r>
            <w:r w:rsidR="00BA471C" w:rsidRPr="00AC7279">
              <w:rPr>
                <w:sz w:val="16"/>
                <w:szCs w:val="16"/>
              </w:rPr>
              <w:t>.</w:t>
            </w:r>
          </w:p>
        </w:tc>
      </w:tr>
    </w:tbl>
    <w:p w14:paraId="0D1C3E61" w14:textId="1B4DE6B7" w:rsidR="00024D18" w:rsidRPr="005206CA" w:rsidRDefault="00024D18" w:rsidP="00F07325">
      <w:pPr>
        <w:pStyle w:val="Footnote"/>
        <w:sectPr w:rsidR="00024D18" w:rsidRPr="005206CA" w:rsidSect="003C5733">
          <w:pgSz w:w="16838" w:h="11906" w:orient="landscape"/>
          <w:pgMar w:top="1418" w:right="1418" w:bottom="1276" w:left="567" w:header="425" w:footer="425" w:gutter="0"/>
          <w:cols w:space="708"/>
          <w:titlePg/>
          <w:docGrid w:linePitch="360"/>
        </w:sectPr>
      </w:pPr>
      <w:r w:rsidRPr="00AC7279">
        <w:rPr>
          <w:b/>
        </w:rPr>
        <w:t>Note</w:t>
      </w:r>
      <w:r w:rsidRPr="005206CA">
        <w:t>: The implementation column notes how the scheme rules and operation would need to change in order to implement the recommended change. Where an agency (eg CER or D</w:t>
      </w:r>
      <w:r w:rsidR="00024CAC" w:rsidRPr="005206CA">
        <w:t>epartment</w:t>
      </w:r>
      <w:r w:rsidRPr="005206CA">
        <w:t xml:space="preserve">) is noted, the required change is an internal administrative change that does not require changes to legislation or legislative instruments. Regardless of the technical implementation, </w:t>
      </w:r>
      <w:r w:rsidR="00221E4E">
        <w:t xml:space="preserve">scheme </w:t>
      </w:r>
      <w:r w:rsidRPr="005206CA">
        <w:t xml:space="preserve">participant actions may also need to change to comply with the new </w:t>
      </w:r>
      <w:r w:rsidR="00206F84" w:rsidRPr="005206CA">
        <w:t xml:space="preserve">arrangements. </w:t>
      </w:r>
    </w:p>
    <w:p w14:paraId="0F91C38B" w14:textId="77777777" w:rsidR="003D2677" w:rsidRPr="005206CA" w:rsidRDefault="003D2677">
      <w:pPr>
        <w:pStyle w:val="Heading1nonumber"/>
      </w:pPr>
      <w:bookmarkStart w:id="1882" w:name="_Toc491872768"/>
      <w:bookmarkStart w:id="1883" w:name="_Toc498691608"/>
      <w:bookmarkStart w:id="1884" w:name="_Toc499043790"/>
      <w:bookmarkStart w:id="1885" w:name="_Toc499051815"/>
      <w:bookmarkStart w:id="1886" w:name="_Toc500251167"/>
      <w:bookmarkStart w:id="1887" w:name="_Toc500251442"/>
      <w:bookmarkStart w:id="1888" w:name="_Toc500254039"/>
      <w:bookmarkStart w:id="1889" w:name="_Toc500401544"/>
      <w:bookmarkStart w:id="1890" w:name="_Toc500491032"/>
      <w:bookmarkStart w:id="1891" w:name="_Toc500512969"/>
      <w:bookmarkStart w:id="1892" w:name="_Toc500514229"/>
      <w:bookmarkStart w:id="1893" w:name="_Toc500516281"/>
      <w:bookmarkStart w:id="1894" w:name="_Toc497819538"/>
      <w:r w:rsidRPr="005206CA">
        <w:t>Glossary of terms</w:t>
      </w:r>
      <w:bookmarkEnd w:id="1882"/>
      <w:bookmarkEnd w:id="1883"/>
      <w:bookmarkEnd w:id="1884"/>
      <w:bookmarkEnd w:id="1885"/>
      <w:bookmarkEnd w:id="1886"/>
      <w:bookmarkEnd w:id="1887"/>
      <w:bookmarkEnd w:id="1888"/>
      <w:bookmarkEnd w:id="1889"/>
      <w:bookmarkEnd w:id="1890"/>
      <w:bookmarkEnd w:id="1891"/>
      <w:bookmarkEnd w:id="1892"/>
      <w:bookmarkEnd w:id="1893"/>
    </w:p>
    <w:tbl>
      <w:tblPr>
        <w:tblStyle w:val="TableGrid"/>
        <w:tblW w:w="0" w:type="auto"/>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719"/>
        <w:gridCol w:w="6493"/>
      </w:tblGrid>
      <w:tr w:rsidR="007B2C5E" w:rsidRPr="00B56F37" w14:paraId="39417368" w14:textId="77777777" w:rsidTr="00C44929">
        <w:trPr>
          <w:cnfStyle w:val="100000000000" w:firstRow="1" w:lastRow="0" w:firstColumn="0" w:lastColumn="0" w:oddVBand="0" w:evenVBand="0" w:oddHBand="0" w:evenHBand="0" w:firstRowFirstColumn="0" w:firstRowLastColumn="0" w:lastRowFirstColumn="0" w:lastRowLastColumn="0"/>
        </w:trPr>
        <w:tc>
          <w:tcPr>
            <w:tcW w:w="2719" w:type="dxa"/>
            <w:shd w:val="clear" w:color="auto" w:fill="309CC8"/>
          </w:tcPr>
          <w:p w14:paraId="660756BA" w14:textId="77777777" w:rsidR="007B2C5E" w:rsidRPr="00B56F37" w:rsidRDefault="007B2C5E" w:rsidP="00C44929">
            <w:pPr>
              <w:pStyle w:val="TableHeader"/>
              <w:spacing w:before="40" w:after="40" w:line="200" w:lineRule="exact"/>
            </w:pPr>
            <w:r w:rsidRPr="00B56F37">
              <w:t>TERM</w:t>
            </w:r>
          </w:p>
        </w:tc>
        <w:tc>
          <w:tcPr>
            <w:tcW w:w="6493" w:type="dxa"/>
            <w:shd w:val="clear" w:color="auto" w:fill="309CC8"/>
          </w:tcPr>
          <w:p w14:paraId="4297165B" w14:textId="77777777" w:rsidR="007B2C5E" w:rsidRPr="00B56F37" w:rsidRDefault="007B2C5E" w:rsidP="00C44929">
            <w:pPr>
              <w:pStyle w:val="TableHeader"/>
              <w:spacing w:before="40" w:after="40" w:line="200" w:lineRule="exact"/>
            </w:pPr>
            <w:r w:rsidRPr="00B56F37">
              <w:t>DEFINITION</w:t>
            </w:r>
          </w:p>
        </w:tc>
      </w:tr>
      <w:tr w:rsidR="00FC511C" w:rsidRPr="00B56F37" w14:paraId="12D53823"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17645F81" w14:textId="4E7D674A" w:rsidR="00FC511C" w:rsidRPr="00B56F37" w:rsidRDefault="00FC511C" w:rsidP="00C44929">
            <w:pPr>
              <w:spacing w:before="40" w:after="40" w:line="200" w:lineRule="exact"/>
              <w:rPr>
                <w:b/>
                <w:sz w:val="16"/>
                <w:szCs w:val="16"/>
              </w:rPr>
            </w:pPr>
            <w:r>
              <w:rPr>
                <w:b/>
                <w:sz w:val="16"/>
                <w:szCs w:val="16"/>
              </w:rPr>
              <w:t>2017 Review</w:t>
            </w:r>
          </w:p>
        </w:tc>
        <w:tc>
          <w:tcPr>
            <w:tcW w:w="6493" w:type="dxa"/>
          </w:tcPr>
          <w:p w14:paraId="00B09F20" w14:textId="4DCBEACF" w:rsidR="00FC511C" w:rsidRPr="00B56F37" w:rsidRDefault="00FC511C" w:rsidP="00C44929">
            <w:pPr>
              <w:spacing w:before="40" w:after="40" w:line="200" w:lineRule="exact"/>
              <w:rPr>
                <w:sz w:val="16"/>
                <w:szCs w:val="16"/>
              </w:rPr>
            </w:pPr>
            <w:r>
              <w:rPr>
                <w:sz w:val="16"/>
                <w:szCs w:val="16"/>
              </w:rPr>
              <w:t xml:space="preserve">Government review of Australia’s climate change policies being led by the Department of the Environment and Energy. </w:t>
            </w:r>
          </w:p>
        </w:tc>
      </w:tr>
      <w:tr w:rsidR="007B2C5E" w:rsidRPr="00B56F37" w14:paraId="663AFDD0"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1EF52829" w14:textId="77777777" w:rsidR="007B2C5E" w:rsidRPr="00B56F37" w:rsidRDefault="007B2C5E" w:rsidP="00C44929">
            <w:pPr>
              <w:spacing w:before="40" w:after="40" w:line="200" w:lineRule="exact"/>
              <w:rPr>
                <w:b/>
                <w:sz w:val="16"/>
                <w:szCs w:val="16"/>
              </w:rPr>
            </w:pPr>
            <w:r w:rsidRPr="00B56F37">
              <w:rPr>
                <w:b/>
                <w:sz w:val="16"/>
                <w:szCs w:val="16"/>
              </w:rPr>
              <w:t>additionality</w:t>
            </w:r>
          </w:p>
        </w:tc>
        <w:tc>
          <w:tcPr>
            <w:tcW w:w="6493" w:type="dxa"/>
          </w:tcPr>
          <w:p w14:paraId="3E127C65" w14:textId="77777777" w:rsidR="007B2C5E" w:rsidRPr="00B56F37" w:rsidRDefault="007B2C5E" w:rsidP="00C44929">
            <w:pPr>
              <w:spacing w:before="40" w:after="40" w:line="200" w:lineRule="exact"/>
              <w:rPr>
                <w:sz w:val="16"/>
                <w:szCs w:val="16"/>
              </w:rPr>
            </w:pPr>
            <w:r w:rsidRPr="00B56F37">
              <w:rPr>
                <w:sz w:val="16"/>
                <w:szCs w:val="16"/>
              </w:rPr>
              <w:t>Emissions reductions that are additional to what would have occurred in the absence of a policy-induced project or activity.</w:t>
            </w:r>
          </w:p>
        </w:tc>
      </w:tr>
      <w:tr w:rsidR="007B2C5E" w:rsidRPr="00B56F37" w14:paraId="0475D944"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00280D93" w14:textId="77777777" w:rsidR="007B2C5E" w:rsidRPr="00B56F37" w:rsidRDefault="007B2C5E" w:rsidP="00C44929">
            <w:pPr>
              <w:spacing w:before="40" w:after="40" w:line="200" w:lineRule="exact"/>
              <w:rPr>
                <w:b/>
                <w:sz w:val="16"/>
                <w:szCs w:val="16"/>
              </w:rPr>
            </w:pPr>
            <w:r w:rsidRPr="00B56F37">
              <w:rPr>
                <w:b/>
                <w:sz w:val="16"/>
                <w:szCs w:val="16"/>
              </w:rPr>
              <w:t>aggregation agreement</w:t>
            </w:r>
          </w:p>
        </w:tc>
        <w:tc>
          <w:tcPr>
            <w:tcW w:w="6493" w:type="dxa"/>
          </w:tcPr>
          <w:p w14:paraId="1B9D814B" w14:textId="3EA4A6CD" w:rsidR="007B2C5E" w:rsidRPr="00B56F37" w:rsidRDefault="007B2C5E" w:rsidP="007D5AEF">
            <w:pPr>
              <w:spacing w:before="40" w:after="40" w:line="200" w:lineRule="exact"/>
              <w:rPr>
                <w:sz w:val="16"/>
                <w:szCs w:val="16"/>
              </w:rPr>
            </w:pPr>
            <w:r w:rsidRPr="00B56F37">
              <w:rPr>
                <w:sz w:val="16"/>
                <w:szCs w:val="16"/>
              </w:rPr>
              <w:t xml:space="preserve">An agreement for carbon services related to participating in the </w:t>
            </w:r>
            <w:r w:rsidR="00BA471C" w:rsidRPr="00B56F37">
              <w:rPr>
                <w:sz w:val="16"/>
                <w:szCs w:val="16"/>
              </w:rPr>
              <w:t>ERF.</w:t>
            </w:r>
            <w:r w:rsidR="00FF19D4" w:rsidRPr="00B56F37">
              <w:rPr>
                <w:sz w:val="16"/>
                <w:szCs w:val="16"/>
              </w:rPr>
              <w:t xml:space="preserve"> </w:t>
            </w:r>
            <w:r w:rsidRPr="00B56F37">
              <w:rPr>
                <w:sz w:val="16"/>
                <w:szCs w:val="16"/>
              </w:rPr>
              <w:t>Can include aggregators, site owners (or landholders) and service providers.</w:t>
            </w:r>
          </w:p>
        </w:tc>
      </w:tr>
      <w:tr w:rsidR="007B2C5E" w:rsidRPr="00B56F37" w14:paraId="61657272"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381CBE5A" w14:textId="77777777" w:rsidR="007B2C5E" w:rsidRPr="00B56F37" w:rsidRDefault="007B2C5E" w:rsidP="00C44929">
            <w:pPr>
              <w:spacing w:before="40" w:after="40" w:line="200" w:lineRule="exact"/>
              <w:rPr>
                <w:b/>
                <w:sz w:val="16"/>
                <w:szCs w:val="16"/>
              </w:rPr>
            </w:pPr>
            <w:r w:rsidRPr="00B56F37">
              <w:rPr>
                <w:b/>
                <w:sz w:val="16"/>
                <w:szCs w:val="16"/>
              </w:rPr>
              <w:t>Australian carbon credit unit (ACCU)</w:t>
            </w:r>
          </w:p>
        </w:tc>
        <w:tc>
          <w:tcPr>
            <w:tcW w:w="6493" w:type="dxa"/>
          </w:tcPr>
          <w:p w14:paraId="41BF4276" w14:textId="0AC05F7A" w:rsidR="007B2C5E" w:rsidRPr="00B56F37" w:rsidRDefault="007B2C5E" w:rsidP="00C44929">
            <w:pPr>
              <w:spacing w:before="40" w:after="40" w:line="200" w:lineRule="exact"/>
              <w:rPr>
                <w:sz w:val="16"/>
                <w:szCs w:val="16"/>
              </w:rPr>
            </w:pPr>
            <w:r w:rsidRPr="00B56F37">
              <w:rPr>
                <w:sz w:val="16"/>
                <w:szCs w:val="16"/>
              </w:rPr>
              <w:t xml:space="preserve">A unit issued for verified emissions reductions under the </w:t>
            </w:r>
            <w:r w:rsidR="003376C4">
              <w:rPr>
                <w:sz w:val="16"/>
                <w:szCs w:val="16"/>
              </w:rPr>
              <w:t>CFI</w:t>
            </w:r>
            <w:r w:rsidRPr="00B56F37">
              <w:rPr>
                <w:sz w:val="16"/>
                <w:szCs w:val="16"/>
              </w:rPr>
              <w:t xml:space="preserve"> and the </w:t>
            </w:r>
            <w:r w:rsidR="003376C4">
              <w:rPr>
                <w:sz w:val="16"/>
                <w:szCs w:val="16"/>
              </w:rPr>
              <w:t>ERF</w:t>
            </w:r>
            <w:r w:rsidRPr="00B56F37">
              <w:rPr>
                <w:sz w:val="16"/>
                <w:szCs w:val="16"/>
              </w:rPr>
              <w:t>, and held in the Australian National Registry of Emissions Units.</w:t>
            </w:r>
          </w:p>
        </w:tc>
      </w:tr>
      <w:tr w:rsidR="007B2C5E" w:rsidRPr="00B56F37" w14:paraId="76C53522"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0BE4677E" w14:textId="77777777" w:rsidR="007B2C5E" w:rsidRPr="00B56F37" w:rsidRDefault="007B2C5E" w:rsidP="00C44929">
            <w:pPr>
              <w:spacing w:before="40" w:after="40" w:line="200" w:lineRule="exact"/>
              <w:rPr>
                <w:b/>
                <w:sz w:val="16"/>
                <w:szCs w:val="16"/>
              </w:rPr>
            </w:pPr>
            <w:r w:rsidRPr="00B56F37">
              <w:rPr>
                <w:b/>
                <w:sz w:val="16"/>
                <w:szCs w:val="16"/>
              </w:rPr>
              <w:t>baseline</w:t>
            </w:r>
          </w:p>
        </w:tc>
        <w:tc>
          <w:tcPr>
            <w:tcW w:w="6493" w:type="dxa"/>
          </w:tcPr>
          <w:p w14:paraId="54630BB6" w14:textId="77777777" w:rsidR="007B2C5E" w:rsidRPr="00B56F37" w:rsidRDefault="007B2C5E" w:rsidP="00C44929">
            <w:pPr>
              <w:spacing w:before="40" w:after="40" w:line="200" w:lineRule="exact"/>
              <w:rPr>
                <w:sz w:val="16"/>
                <w:szCs w:val="16"/>
              </w:rPr>
            </w:pPr>
            <w:r w:rsidRPr="00B56F37">
              <w:rPr>
                <w:sz w:val="16"/>
                <w:szCs w:val="16"/>
              </w:rPr>
              <w:t>A counterfactual scenario of future emissions that would have been expected to occur without the emissions-reducing activity.</w:t>
            </w:r>
          </w:p>
        </w:tc>
      </w:tr>
      <w:tr w:rsidR="007B2C5E" w:rsidRPr="00B56F37" w14:paraId="7867BA24"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06944866" w14:textId="133DE58E" w:rsidR="007B2C5E" w:rsidRPr="00B56F37" w:rsidRDefault="003376C4" w:rsidP="00C44929">
            <w:pPr>
              <w:spacing w:before="40" w:after="40" w:line="200" w:lineRule="exact"/>
              <w:rPr>
                <w:b/>
                <w:sz w:val="16"/>
                <w:szCs w:val="16"/>
              </w:rPr>
            </w:pPr>
            <w:r>
              <w:rPr>
                <w:b/>
                <w:sz w:val="16"/>
                <w:szCs w:val="16"/>
              </w:rPr>
              <w:t>b</w:t>
            </w:r>
            <w:r w:rsidR="007B2C5E" w:rsidRPr="00B56F37">
              <w:rPr>
                <w:b/>
                <w:sz w:val="16"/>
                <w:szCs w:val="16"/>
              </w:rPr>
              <w:t>usiness</w:t>
            </w:r>
            <w:r>
              <w:rPr>
                <w:b/>
                <w:sz w:val="16"/>
                <w:szCs w:val="16"/>
              </w:rPr>
              <w:t xml:space="preserve"> </w:t>
            </w:r>
            <w:r w:rsidR="007B2C5E" w:rsidRPr="00B56F37">
              <w:rPr>
                <w:b/>
                <w:sz w:val="16"/>
                <w:szCs w:val="16"/>
              </w:rPr>
              <w:t>as</w:t>
            </w:r>
            <w:r>
              <w:rPr>
                <w:b/>
                <w:sz w:val="16"/>
                <w:szCs w:val="16"/>
              </w:rPr>
              <w:t xml:space="preserve"> </w:t>
            </w:r>
            <w:r w:rsidR="007B2C5E" w:rsidRPr="00B56F37">
              <w:rPr>
                <w:b/>
                <w:sz w:val="16"/>
                <w:szCs w:val="16"/>
              </w:rPr>
              <w:t>usual</w:t>
            </w:r>
          </w:p>
        </w:tc>
        <w:tc>
          <w:tcPr>
            <w:tcW w:w="6493" w:type="dxa"/>
          </w:tcPr>
          <w:p w14:paraId="01AA2C07" w14:textId="77777777" w:rsidR="007B2C5E" w:rsidRPr="00B56F37" w:rsidRDefault="007B2C5E" w:rsidP="00C44929">
            <w:pPr>
              <w:spacing w:before="40" w:after="40" w:line="200" w:lineRule="exact"/>
              <w:rPr>
                <w:sz w:val="16"/>
                <w:szCs w:val="16"/>
              </w:rPr>
            </w:pPr>
            <w:r w:rsidRPr="00B56F37">
              <w:rPr>
                <w:sz w:val="16"/>
                <w:szCs w:val="16"/>
              </w:rPr>
              <w:t>Emissions that would occur without policy intervention.</w:t>
            </w:r>
          </w:p>
        </w:tc>
      </w:tr>
      <w:tr w:rsidR="007B2C5E" w:rsidRPr="00B56F37" w14:paraId="1E808696"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3E5D00B9" w14:textId="77777777" w:rsidR="007B2C5E" w:rsidRPr="00B56F37" w:rsidRDefault="007B2C5E" w:rsidP="00C44929">
            <w:pPr>
              <w:spacing w:before="40" w:after="40" w:line="200" w:lineRule="exact"/>
              <w:rPr>
                <w:b/>
                <w:sz w:val="16"/>
                <w:szCs w:val="16"/>
              </w:rPr>
            </w:pPr>
            <w:r w:rsidRPr="00B56F37">
              <w:rPr>
                <w:b/>
                <w:sz w:val="16"/>
                <w:szCs w:val="16"/>
              </w:rPr>
              <w:t>Carbon Farming Initiative (CFI)</w:t>
            </w:r>
          </w:p>
        </w:tc>
        <w:tc>
          <w:tcPr>
            <w:tcW w:w="6493" w:type="dxa"/>
          </w:tcPr>
          <w:p w14:paraId="10F19226" w14:textId="77777777" w:rsidR="007B2C5E" w:rsidRPr="00B56F37" w:rsidRDefault="007B2C5E" w:rsidP="00C44929">
            <w:pPr>
              <w:spacing w:before="40" w:after="40" w:line="200" w:lineRule="exact"/>
              <w:rPr>
                <w:sz w:val="16"/>
                <w:szCs w:val="16"/>
              </w:rPr>
            </w:pPr>
            <w:r w:rsidRPr="00B56F37">
              <w:rPr>
                <w:sz w:val="16"/>
                <w:szCs w:val="16"/>
              </w:rPr>
              <w:t>An Australian emissions offset scheme that credited emissions reductions from certain sources, such as forestry and agriculture, which were not covered by the carbon pricing mechanism.</w:t>
            </w:r>
          </w:p>
        </w:tc>
      </w:tr>
      <w:tr w:rsidR="007B2C5E" w:rsidRPr="00B56F37" w14:paraId="5FAD1711"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43B7E69C" w14:textId="77777777" w:rsidR="007B2C5E" w:rsidRPr="00B56F37" w:rsidRDefault="007B2C5E" w:rsidP="00C44929">
            <w:pPr>
              <w:spacing w:before="40" w:after="40" w:line="200" w:lineRule="exact"/>
              <w:rPr>
                <w:b/>
                <w:sz w:val="16"/>
                <w:szCs w:val="16"/>
              </w:rPr>
            </w:pPr>
            <w:r w:rsidRPr="00B56F37">
              <w:rPr>
                <w:b/>
                <w:sz w:val="16"/>
                <w:szCs w:val="16"/>
              </w:rPr>
              <w:t>carbon pricing mechanism</w:t>
            </w:r>
          </w:p>
        </w:tc>
        <w:tc>
          <w:tcPr>
            <w:tcW w:w="6493" w:type="dxa"/>
          </w:tcPr>
          <w:p w14:paraId="0116B868" w14:textId="77777777" w:rsidR="007B2C5E" w:rsidRPr="00B56F37" w:rsidRDefault="007B2C5E" w:rsidP="00C44929">
            <w:pPr>
              <w:spacing w:before="40" w:after="40" w:line="200" w:lineRule="exact"/>
              <w:rPr>
                <w:sz w:val="16"/>
                <w:szCs w:val="16"/>
              </w:rPr>
            </w:pPr>
            <w:r w:rsidRPr="00B56F37">
              <w:rPr>
                <w:sz w:val="16"/>
                <w:szCs w:val="16"/>
              </w:rPr>
              <w:t xml:space="preserve">An emissions trading scheme introduced under the </w:t>
            </w:r>
            <w:r w:rsidRPr="00B56F37">
              <w:rPr>
                <w:i/>
                <w:sz w:val="16"/>
                <w:szCs w:val="16"/>
              </w:rPr>
              <w:t>Clean Energy Act 2011</w:t>
            </w:r>
            <w:r w:rsidRPr="00B56F37">
              <w:rPr>
                <w:sz w:val="16"/>
                <w:szCs w:val="16"/>
              </w:rPr>
              <w:t xml:space="preserve"> (Cth) and applied to Australia’s biggest emitters (called ‘liable entities’). It was repealed in July 2014.</w:t>
            </w:r>
          </w:p>
        </w:tc>
      </w:tr>
      <w:tr w:rsidR="007B2C5E" w:rsidRPr="00B56F37" w14:paraId="391DA287"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0E5AC43E" w14:textId="77777777" w:rsidR="007B2C5E" w:rsidRPr="00B56F37" w:rsidRDefault="007B2C5E" w:rsidP="00C44929">
            <w:pPr>
              <w:spacing w:before="40" w:after="40" w:line="200" w:lineRule="exact"/>
              <w:rPr>
                <w:b/>
                <w:sz w:val="16"/>
                <w:szCs w:val="16"/>
              </w:rPr>
            </w:pPr>
            <w:r w:rsidRPr="00B56F37">
              <w:rPr>
                <w:b/>
                <w:sz w:val="16"/>
                <w:szCs w:val="16"/>
              </w:rPr>
              <w:t>carbon service provider</w:t>
            </w:r>
          </w:p>
        </w:tc>
        <w:tc>
          <w:tcPr>
            <w:tcW w:w="6493" w:type="dxa"/>
          </w:tcPr>
          <w:p w14:paraId="4B272E07" w14:textId="0A7CC881" w:rsidR="007B2C5E" w:rsidRPr="00B56F37" w:rsidRDefault="007B2C5E" w:rsidP="00C44929">
            <w:pPr>
              <w:spacing w:before="40" w:after="40" w:line="200" w:lineRule="exact"/>
              <w:rPr>
                <w:sz w:val="16"/>
                <w:szCs w:val="16"/>
              </w:rPr>
            </w:pPr>
            <w:r w:rsidRPr="00B56F37">
              <w:rPr>
                <w:sz w:val="16"/>
                <w:szCs w:val="16"/>
              </w:rPr>
              <w:t xml:space="preserve">Individuals or groups that develop ERF projects, provide advice on project registration, implementation and management, aggregate projects or contracts or act as </w:t>
            </w:r>
            <w:r w:rsidR="00BA471C" w:rsidRPr="00B56F37">
              <w:rPr>
                <w:sz w:val="16"/>
                <w:szCs w:val="16"/>
              </w:rPr>
              <w:t xml:space="preserve">designated </w:t>
            </w:r>
            <w:r w:rsidRPr="00B56F37">
              <w:rPr>
                <w:sz w:val="16"/>
                <w:szCs w:val="16"/>
              </w:rPr>
              <w:t>agents, whereby they are authorised to act on the scheme participant’s behalf.</w:t>
            </w:r>
          </w:p>
        </w:tc>
      </w:tr>
      <w:tr w:rsidR="007B2C5E" w:rsidRPr="00B56F37" w14:paraId="21258A25"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40F0E2AB" w14:textId="77777777" w:rsidR="007B2C5E" w:rsidRPr="00B56F37" w:rsidRDefault="007B2C5E" w:rsidP="00C44929">
            <w:pPr>
              <w:spacing w:before="40" w:after="40" w:line="200" w:lineRule="exact"/>
              <w:rPr>
                <w:b/>
                <w:sz w:val="16"/>
                <w:szCs w:val="16"/>
              </w:rPr>
            </w:pPr>
            <w:r w:rsidRPr="00B56F37">
              <w:rPr>
                <w:b/>
                <w:sz w:val="16"/>
                <w:szCs w:val="16"/>
              </w:rPr>
              <w:t xml:space="preserve">contract period </w:t>
            </w:r>
          </w:p>
        </w:tc>
        <w:tc>
          <w:tcPr>
            <w:tcW w:w="6493" w:type="dxa"/>
          </w:tcPr>
          <w:p w14:paraId="74349ADA" w14:textId="77777777" w:rsidR="007B2C5E" w:rsidRPr="00B56F37" w:rsidRDefault="007B2C5E" w:rsidP="00C44929">
            <w:pPr>
              <w:spacing w:before="40" w:after="40" w:line="200" w:lineRule="exact"/>
              <w:rPr>
                <w:sz w:val="16"/>
                <w:szCs w:val="16"/>
              </w:rPr>
            </w:pPr>
            <w:r w:rsidRPr="00B56F37">
              <w:rPr>
                <w:sz w:val="16"/>
                <w:szCs w:val="16"/>
              </w:rPr>
              <w:t xml:space="preserve">Period over which ERF projects receive payment from a Government contract in exchange for delivery of ACCUs. </w:t>
            </w:r>
          </w:p>
        </w:tc>
      </w:tr>
      <w:tr w:rsidR="007B2C5E" w:rsidRPr="00B56F37" w14:paraId="6EE34E43"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3831651D" w14:textId="77777777" w:rsidR="007B2C5E" w:rsidRPr="00B56F37" w:rsidRDefault="007B2C5E" w:rsidP="00C44929">
            <w:pPr>
              <w:spacing w:before="40" w:after="40" w:line="200" w:lineRule="exact"/>
              <w:rPr>
                <w:b/>
                <w:sz w:val="16"/>
                <w:szCs w:val="16"/>
              </w:rPr>
            </w:pPr>
            <w:r w:rsidRPr="00B56F37">
              <w:rPr>
                <w:b/>
                <w:sz w:val="16"/>
                <w:szCs w:val="16"/>
              </w:rPr>
              <w:t>crediting period</w:t>
            </w:r>
          </w:p>
        </w:tc>
        <w:tc>
          <w:tcPr>
            <w:tcW w:w="6493" w:type="dxa"/>
          </w:tcPr>
          <w:p w14:paraId="5A00E1CD" w14:textId="77777777" w:rsidR="007B2C5E" w:rsidRPr="00B56F37" w:rsidRDefault="007B2C5E" w:rsidP="00C44929">
            <w:pPr>
              <w:spacing w:before="40" w:after="40" w:line="200" w:lineRule="exact"/>
              <w:rPr>
                <w:sz w:val="16"/>
                <w:szCs w:val="16"/>
              </w:rPr>
            </w:pPr>
            <w:r w:rsidRPr="00B56F37">
              <w:rPr>
                <w:sz w:val="16"/>
                <w:szCs w:val="16"/>
              </w:rPr>
              <w:t xml:space="preserve">Period over which a registered ERF project can earn ACCUs. </w:t>
            </w:r>
          </w:p>
        </w:tc>
      </w:tr>
      <w:tr w:rsidR="0011790A" w:rsidRPr="00B56F37" w14:paraId="550954F0"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370EA395" w14:textId="24A0EEC1" w:rsidR="0011790A" w:rsidRPr="00B56F37" w:rsidRDefault="0011790A" w:rsidP="00C44929">
            <w:pPr>
              <w:spacing w:before="40" w:after="40" w:line="200" w:lineRule="exact"/>
              <w:rPr>
                <w:b/>
                <w:sz w:val="16"/>
                <w:szCs w:val="16"/>
              </w:rPr>
            </w:pPr>
            <w:r w:rsidRPr="00B56F37">
              <w:rPr>
                <w:b/>
                <w:sz w:val="16"/>
                <w:szCs w:val="16"/>
              </w:rPr>
              <w:t>designated agent</w:t>
            </w:r>
          </w:p>
        </w:tc>
        <w:tc>
          <w:tcPr>
            <w:tcW w:w="6493" w:type="dxa"/>
          </w:tcPr>
          <w:p w14:paraId="47A661F8" w14:textId="2E3A7E44" w:rsidR="0011790A" w:rsidRPr="00B56F37" w:rsidRDefault="00F34F86" w:rsidP="00C44929">
            <w:pPr>
              <w:spacing w:before="40" w:after="40" w:line="200" w:lineRule="exact"/>
              <w:rPr>
                <w:sz w:val="16"/>
                <w:szCs w:val="16"/>
              </w:rPr>
            </w:pPr>
            <w:r w:rsidRPr="00B56F37">
              <w:rPr>
                <w:sz w:val="16"/>
                <w:szCs w:val="16"/>
              </w:rPr>
              <w:t>An individual or company authorised to act on the scheme participants behalf in relation to an ERF project.</w:t>
            </w:r>
          </w:p>
        </w:tc>
      </w:tr>
      <w:tr w:rsidR="007B2C5E" w:rsidRPr="00B56F37" w14:paraId="0757E554"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213E438C" w14:textId="77777777" w:rsidR="007B2C5E" w:rsidRPr="00B56F37" w:rsidRDefault="007B2C5E" w:rsidP="00C44929">
            <w:pPr>
              <w:spacing w:before="40" w:after="40" w:line="200" w:lineRule="exact"/>
              <w:rPr>
                <w:b/>
                <w:sz w:val="16"/>
                <w:szCs w:val="16"/>
              </w:rPr>
            </w:pPr>
            <w:r w:rsidRPr="00B56F37">
              <w:rPr>
                <w:b/>
                <w:sz w:val="16"/>
                <w:szCs w:val="16"/>
              </w:rPr>
              <w:t>eligible interest holder consent</w:t>
            </w:r>
          </w:p>
        </w:tc>
        <w:tc>
          <w:tcPr>
            <w:tcW w:w="6493" w:type="dxa"/>
          </w:tcPr>
          <w:p w14:paraId="6CB21837" w14:textId="77777777" w:rsidR="007B2C5E" w:rsidRPr="00B56F37" w:rsidRDefault="007B2C5E" w:rsidP="00C44929">
            <w:pPr>
              <w:spacing w:before="40" w:after="40" w:line="200" w:lineRule="exact"/>
              <w:rPr>
                <w:sz w:val="16"/>
                <w:szCs w:val="16"/>
              </w:rPr>
            </w:pPr>
            <w:r w:rsidRPr="00B56F37">
              <w:rPr>
                <w:sz w:val="16"/>
                <w:szCs w:val="16"/>
              </w:rPr>
              <w:t>Approval from those holding an eligible interest in land on which an ERF project will run.</w:t>
            </w:r>
          </w:p>
        </w:tc>
      </w:tr>
      <w:tr w:rsidR="007B2C5E" w:rsidRPr="00B56F37" w14:paraId="467118AD"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520577FE" w14:textId="77777777" w:rsidR="007B2C5E" w:rsidRPr="00B56F37" w:rsidRDefault="007B2C5E" w:rsidP="00C44929">
            <w:pPr>
              <w:spacing w:before="40" w:after="40" w:line="200" w:lineRule="exact"/>
              <w:rPr>
                <w:b/>
                <w:sz w:val="16"/>
                <w:szCs w:val="16"/>
              </w:rPr>
            </w:pPr>
            <w:r w:rsidRPr="00B56F37">
              <w:rPr>
                <w:b/>
                <w:sz w:val="16"/>
                <w:szCs w:val="16"/>
              </w:rPr>
              <w:t>emissions intensity</w:t>
            </w:r>
          </w:p>
        </w:tc>
        <w:tc>
          <w:tcPr>
            <w:tcW w:w="6493" w:type="dxa"/>
          </w:tcPr>
          <w:p w14:paraId="36D9391F" w14:textId="3299EAFF" w:rsidR="007B2C5E" w:rsidRPr="00B56F37" w:rsidRDefault="007B2C5E" w:rsidP="00C44929">
            <w:pPr>
              <w:spacing w:before="40" w:after="40" w:line="200" w:lineRule="exact"/>
              <w:rPr>
                <w:sz w:val="16"/>
                <w:szCs w:val="16"/>
              </w:rPr>
            </w:pPr>
            <w:r w:rsidRPr="00B56F37">
              <w:rPr>
                <w:sz w:val="16"/>
                <w:szCs w:val="16"/>
              </w:rPr>
              <w:t>A measure of the amount of emissions associated with a unit of output; for example, emissions per kilo of beef.</w:t>
            </w:r>
          </w:p>
        </w:tc>
      </w:tr>
      <w:tr w:rsidR="007B2C5E" w:rsidRPr="00B56F37" w14:paraId="196AE5F9"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7BCC8A72" w14:textId="77777777" w:rsidR="007B2C5E" w:rsidRPr="00B56F37" w:rsidRDefault="007B2C5E" w:rsidP="00C44929">
            <w:pPr>
              <w:spacing w:before="40" w:after="40" w:line="200" w:lineRule="exact"/>
              <w:rPr>
                <w:b/>
                <w:sz w:val="16"/>
                <w:szCs w:val="16"/>
              </w:rPr>
            </w:pPr>
            <w:r w:rsidRPr="00B56F37">
              <w:rPr>
                <w:b/>
                <w:sz w:val="16"/>
                <w:szCs w:val="16"/>
              </w:rPr>
              <w:t>emissions reduction</w:t>
            </w:r>
          </w:p>
        </w:tc>
        <w:tc>
          <w:tcPr>
            <w:tcW w:w="6493" w:type="dxa"/>
          </w:tcPr>
          <w:p w14:paraId="70E8434D" w14:textId="77777777" w:rsidR="007B2C5E" w:rsidRPr="00B56F37" w:rsidRDefault="007B2C5E" w:rsidP="00C44929">
            <w:pPr>
              <w:spacing w:before="40" w:after="40" w:line="200" w:lineRule="exact"/>
              <w:rPr>
                <w:sz w:val="16"/>
                <w:szCs w:val="16"/>
              </w:rPr>
            </w:pPr>
            <w:r w:rsidRPr="00B56F37">
              <w:rPr>
                <w:sz w:val="16"/>
                <w:szCs w:val="16"/>
              </w:rPr>
              <w:t>The act or process of limiting, restricting or sequestering greenhouse gas emissions.</w:t>
            </w:r>
          </w:p>
        </w:tc>
      </w:tr>
      <w:tr w:rsidR="007B2C5E" w:rsidRPr="00B56F37" w14:paraId="4AA04059"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350544D2" w14:textId="77777777" w:rsidR="007B2C5E" w:rsidRPr="00B56F37" w:rsidRDefault="007B2C5E" w:rsidP="00C44929">
            <w:pPr>
              <w:spacing w:before="40" w:after="40" w:line="200" w:lineRule="exact"/>
              <w:rPr>
                <w:b/>
                <w:sz w:val="16"/>
                <w:szCs w:val="16"/>
              </w:rPr>
            </w:pPr>
            <w:r w:rsidRPr="00B56F37">
              <w:rPr>
                <w:b/>
                <w:sz w:val="16"/>
                <w:szCs w:val="16"/>
              </w:rPr>
              <w:t>Emissions Reduction Assurance Committee (ERAC)</w:t>
            </w:r>
          </w:p>
        </w:tc>
        <w:tc>
          <w:tcPr>
            <w:tcW w:w="6493" w:type="dxa"/>
          </w:tcPr>
          <w:p w14:paraId="262DEB15" w14:textId="299272A9" w:rsidR="007B2C5E" w:rsidRPr="00B56F37" w:rsidRDefault="007B2C5E" w:rsidP="00BA471C">
            <w:pPr>
              <w:spacing w:before="40" w:after="40" w:line="200" w:lineRule="exact"/>
              <w:rPr>
                <w:sz w:val="16"/>
                <w:szCs w:val="16"/>
              </w:rPr>
            </w:pPr>
            <w:r w:rsidRPr="00B56F37">
              <w:rPr>
                <w:sz w:val="16"/>
                <w:szCs w:val="16"/>
              </w:rPr>
              <w:t xml:space="preserve">An independent, expert committee that assesses whether methods meet the offsets integrity </w:t>
            </w:r>
            <w:r w:rsidR="00BA471C" w:rsidRPr="00B56F37">
              <w:rPr>
                <w:sz w:val="16"/>
                <w:szCs w:val="16"/>
              </w:rPr>
              <w:t xml:space="preserve">standards </w:t>
            </w:r>
            <w:r w:rsidRPr="00B56F37">
              <w:rPr>
                <w:sz w:val="16"/>
                <w:szCs w:val="16"/>
              </w:rPr>
              <w:t xml:space="preserve">of the </w:t>
            </w:r>
            <w:r w:rsidR="00BA471C" w:rsidRPr="00B56F37">
              <w:rPr>
                <w:sz w:val="16"/>
                <w:szCs w:val="16"/>
              </w:rPr>
              <w:t>ERF</w:t>
            </w:r>
            <w:r w:rsidRPr="00B56F37">
              <w:rPr>
                <w:sz w:val="16"/>
                <w:szCs w:val="16"/>
              </w:rPr>
              <w:t xml:space="preserve"> and provide advice to Government.</w:t>
            </w:r>
          </w:p>
        </w:tc>
      </w:tr>
      <w:tr w:rsidR="007B2C5E" w:rsidRPr="00B56F37" w14:paraId="642EE26E"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00D16742" w14:textId="77777777" w:rsidR="007B2C5E" w:rsidRPr="00B56F37" w:rsidRDefault="007B2C5E" w:rsidP="00C44929">
            <w:pPr>
              <w:spacing w:before="40" w:after="40" w:line="200" w:lineRule="exact"/>
              <w:rPr>
                <w:b/>
                <w:sz w:val="16"/>
                <w:szCs w:val="16"/>
              </w:rPr>
            </w:pPr>
            <w:r w:rsidRPr="00B56F37">
              <w:rPr>
                <w:b/>
                <w:sz w:val="16"/>
                <w:szCs w:val="16"/>
              </w:rPr>
              <w:t>Emissions Reduction Fund (ERF)</w:t>
            </w:r>
          </w:p>
        </w:tc>
        <w:tc>
          <w:tcPr>
            <w:tcW w:w="6493" w:type="dxa"/>
          </w:tcPr>
          <w:p w14:paraId="7C73090B" w14:textId="77777777" w:rsidR="007B2C5E" w:rsidRPr="00B56F37" w:rsidRDefault="007B2C5E" w:rsidP="00C44929">
            <w:pPr>
              <w:spacing w:before="40" w:after="40" w:line="200" w:lineRule="exact"/>
              <w:rPr>
                <w:sz w:val="16"/>
                <w:szCs w:val="16"/>
              </w:rPr>
            </w:pPr>
            <w:r w:rsidRPr="00B56F37">
              <w:rPr>
                <w:sz w:val="16"/>
                <w:szCs w:val="16"/>
              </w:rPr>
              <w:t>A scheme resulting from the expansion of, streamlining and other changes to the CFI in December 2014. The ERF involves purchases of ACCUs by the Government.</w:t>
            </w:r>
          </w:p>
        </w:tc>
      </w:tr>
      <w:tr w:rsidR="007B2C5E" w:rsidRPr="00B56F37" w14:paraId="065BB730"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75B18FDE" w14:textId="77777777" w:rsidR="007B2C5E" w:rsidRPr="00B56F37" w:rsidRDefault="007B2C5E" w:rsidP="00C44929">
            <w:pPr>
              <w:spacing w:before="40" w:after="40" w:line="200" w:lineRule="exact"/>
              <w:rPr>
                <w:b/>
                <w:sz w:val="16"/>
                <w:szCs w:val="16"/>
              </w:rPr>
            </w:pPr>
            <w:r w:rsidRPr="00B56F37">
              <w:rPr>
                <w:b/>
                <w:sz w:val="16"/>
                <w:szCs w:val="16"/>
              </w:rPr>
              <w:t>enteric fermentation</w:t>
            </w:r>
          </w:p>
        </w:tc>
        <w:tc>
          <w:tcPr>
            <w:tcW w:w="6493" w:type="dxa"/>
          </w:tcPr>
          <w:p w14:paraId="37E925CB" w14:textId="77777777" w:rsidR="007B2C5E" w:rsidRPr="00B56F37" w:rsidRDefault="007B2C5E" w:rsidP="00C44929">
            <w:pPr>
              <w:spacing w:before="40" w:after="40" w:line="200" w:lineRule="exact"/>
              <w:rPr>
                <w:sz w:val="16"/>
                <w:szCs w:val="16"/>
              </w:rPr>
            </w:pPr>
            <w:r w:rsidRPr="00B56F37">
              <w:rPr>
                <w:sz w:val="16"/>
                <w:szCs w:val="16"/>
              </w:rPr>
              <w:t>A biological process in ruminant animals by which gases are produced through digestion.</w:t>
            </w:r>
          </w:p>
        </w:tc>
      </w:tr>
      <w:tr w:rsidR="007B2C5E" w:rsidRPr="00B56F37" w14:paraId="3CA17E27"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078F6922" w14:textId="1F7FF8E6" w:rsidR="007B2C5E" w:rsidRPr="00B56F37" w:rsidRDefault="007B2C5E" w:rsidP="00C44929">
            <w:pPr>
              <w:spacing w:before="40" w:after="40" w:line="200" w:lineRule="exact"/>
              <w:rPr>
                <w:b/>
                <w:sz w:val="16"/>
                <w:szCs w:val="16"/>
              </w:rPr>
            </w:pPr>
            <w:r w:rsidRPr="00B56F37">
              <w:rPr>
                <w:b/>
                <w:sz w:val="16"/>
                <w:szCs w:val="16"/>
              </w:rPr>
              <w:t xml:space="preserve">Fit and </w:t>
            </w:r>
            <w:r w:rsidR="00CF0ECD">
              <w:rPr>
                <w:b/>
                <w:sz w:val="16"/>
                <w:szCs w:val="16"/>
              </w:rPr>
              <w:t>P</w:t>
            </w:r>
            <w:r w:rsidRPr="00B56F37">
              <w:rPr>
                <w:b/>
                <w:sz w:val="16"/>
                <w:szCs w:val="16"/>
              </w:rPr>
              <w:t xml:space="preserve">roper </w:t>
            </w:r>
            <w:r w:rsidR="00CF0ECD">
              <w:rPr>
                <w:b/>
                <w:sz w:val="16"/>
                <w:szCs w:val="16"/>
              </w:rPr>
              <w:t>P</w:t>
            </w:r>
            <w:r w:rsidR="00CF0ECD" w:rsidRPr="00B56F37">
              <w:rPr>
                <w:b/>
                <w:sz w:val="16"/>
                <w:szCs w:val="16"/>
              </w:rPr>
              <w:t xml:space="preserve">erson </w:t>
            </w:r>
            <w:r w:rsidRPr="00B56F37">
              <w:rPr>
                <w:b/>
                <w:sz w:val="16"/>
                <w:szCs w:val="16"/>
              </w:rPr>
              <w:t>test</w:t>
            </w:r>
          </w:p>
        </w:tc>
        <w:tc>
          <w:tcPr>
            <w:tcW w:w="6493" w:type="dxa"/>
          </w:tcPr>
          <w:p w14:paraId="23C0F5C6" w14:textId="77777777" w:rsidR="007B2C5E" w:rsidRPr="00B56F37" w:rsidRDefault="007B2C5E" w:rsidP="00C44929">
            <w:pPr>
              <w:spacing w:before="40" w:after="40" w:line="200" w:lineRule="exact"/>
              <w:rPr>
                <w:sz w:val="16"/>
                <w:szCs w:val="16"/>
              </w:rPr>
            </w:pPr>
            <w:r w:rsidRPr="00B56F37">
              <w:rPr>
                <w:sz w:val="16"/>
                <w:szCs w:val="16"/>
              </w:rPr>
              <w:t xml:space="preserve">Individuals and firms must not be convicted of an offence related to dishonest conduct or subject to a bankruptcy and must have competence and capacity to participate in the scheme. </w:t>
            </w:r>
          </w:p>
        </w:tc>
      </w:tr>
      <w:tr w:rsidR="007B2C5E" w:rsidRPr="00B56F37" w14:paraId="0BB5BE22" w14:textId="77777777" w:rsidTr="00851B57">
        <w:trPr>
          <w:cnfStyle w:val="000000010000" w:firstRow="0" w:lastRow="0" w:firstColumn="0" w:lastColumn="0" w:oddVBand="0" w:evenVBand="0" w:oddHBand="0" w:evenHBand="1" w:firstRowFirstColumn="0" w:firstRowLastColumn="0" w:lastRowFirstColumn="0" w:lastRowLastColumn="0"/>
          <w:trHeight w:val="624"/>
        </w:trPr>
        <w:tc>
          <w:tcPr>
            <w:tcW w:w="2719" w:type="dxa"/>
          </w:tcPr>
          <w:p w14:paraId="1A71741D" w14:textId="427975DC" w:rsidR="007B2C5E" w:rsidRPr="00B56F37" w:rsidRDefault="007B2C5E" w:rsidP="00C44929">
            <w:pPr>
              <w:spacing w:before="40" w:after="40" w:line="200" w:lineRule="exact"/>
              <w:rPr>
                <w:b/>
                <w:sz w:val="16"/>
                <w:szCs w:val="16"/>
              </w:rPr>
            </w:pPr>
            <w:r w:rsidRPr="00B56F37">
              <w:rPr>
                <w:b/>
                <w:sz w:val="16"/>
                <w:szCs w:val="16"/>
              </w:rPr>
              <w:t>greenhouse gas</w:t>
            </w:r>
            <w:r w:rsidR="00BA471C" w:rsidRPr="00B56F37">
              <w:rPr>
                <w:b/>
                <w:sz w:val="16"/>
                <w:szCs w:val="16"/>
              </w:rPr>
              <w:t xml:space="preserve"> (GHG)</w:t>
            </w:r>
          </w:p>
        </w:tc>
        <w:tc>
          <w:tcPr>
            <w:tcW w:w="6493" w:type="dxa"/>
          </w:tcPr>
          <w:p w14:paraId="0D803D20" w14:textId="77777777" w:rsidR="007B2C5E" w:rsidRPr="00B56F37" w:rsidRDefault="007B2C5E" w:rsidP="00C44929">
            <w:pPr>
              <w:spacing w:before="40" w:after="40" w:line="200" w:lineRule="exact"/>
              <w:rPr>
                <w:sz w:val="16"/>
                <w:szCs w:val="16"/>
              </w:rPr>
            </w:pPr>
            <w:r w:rsidRPr="00B56F37">
              <w:rPr>
                <w:sz w:val="16"/>
                <w:szCs w:val="16"/>
              </w:rPr>
              <w:t>Any gas (natural or produced by human activities) that absorbs infrared radiation in the atmosphere. Key greenhouse gases include carbon dioxide, water vapour, nitrous oxide, methane and ozone.</w:t>
            </w:r>
          </w:p>
        </w:tc>
      </w:tr>
      <w:tr w:rsidR="00C25B76" w:rsidRPr="00B56F37" w14:paraId="3CC2E9BF"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4625AC8E" w14:textId="55D90C7B" w:rsidR="00C25B76" w:rsidRPr="00B56F37" w:rsidRDefault="00BD4AD8" w:rsidP="00C44929">
            <w:pPr>
              <w:spacing w:before="40" w:after="40" w:line="200" w:lineRule="exact"/>
              <w:rPr>
                <w:b/>
                <w:sz w:val="16"/>
                <w:szCs w:val="16"/>
              </w:rPr>
            </w:pPr>
            <w:r w:rsidRPr="00B56F37">
              <w:rPr>
                <w:b/>
                <w:sz w:val="16"/>
                <w:szCs w:val="16"/>
              </w:rPr>
              <w:t>G</w:t>
            </w:r>
            <w:r w:rsidR="00C25B76" w:rsidRPr="00B56F37">
              <w:rPr>
                <w:b/>
                <w:sz w:val="16"/>
                <w:szCs w:val="16"/>
              </w:rPr>
              <w:t>uarantee</w:t>
            </w:r>
          </w:p>
        </w:tc>
        <w:tc>
          <w:tcPr>
            <w:tcW w:w="6493" w:type="dxa"/>
          </w:tcPr>
          <w:p w14:paraId="2E598EAA" w14:textId="34ED0969" w:rsidR="00C25B76" w:rsidRPr="00B56F37" w:rsidRDefault="00C25B76" w:rsidP="00C44929">
            <w:pPr>
              <w:spacing w:before="40" w:after="40" w:line="200" w:lineRule="exact"/>
              <w:rPr>
                <w:sz w:val="16"/>
                <w:szCs w:val="16"/>
              </w:rPr>
            </w:pPr>
            <w:r w:rsidRPr="00B56F37">
              <w:rPr>
                <w:sz w:val="16"/>
                <w:szCs w:val="16"/>
              </w:rPr>
              <w:t>The National Energy Guarantee will require energy retailers across the National Electricity Market to deliver reliable and lower emissions generation each year.</w:t>
            </w:r>
          </w:p>
        </w:tc>
      </w:tr>
      <w:tr w:rsidR="007B2C5E" w:rsidRPr="00B56F37" w14:paraId="0B1FEFBA"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564BD918" w14:textId="77777777" w:rsidR="007B2C5E" w:rsidRPr="00B56F37" w:rsidRDefault="007B2C5E" w:rsidP="00C44929">
            <w:pPr>
              <w:spacing w:before="40" w:after="40" w:line="200" w:lineRule="exact"/>
              <w:rPr>
                <w:b/>
                <w:sz w:val="16"/>
                <w:szCs w:val="16"/>
              </w:rPr>
            </w:pPr>
            <w:r w:rsidRPr="00B56F37">
              <w:rPr>
                <w:b/>
                <w:sz w:val="16"/>
                <w:szCs w:val="16"/>
              </w:rPr>
              <w:t>information asymmetry</w:t>
            </w:r>
          </w:p>
        </w:tc>
        <w:tc>
          <w:tcPr>
            <w:tcW w:w="6493" w:type="dxa"/>
          </w:tcPr>
          <w:p w14:paraId="36D45725" w14:textId="77777777" w:rsidR="007B2C5E" w:rsidRPr="00B56F37" w:rsidRDefault="007B2C5E" w:rsidP="00C44929">
            <w:pPr>
              <w:spacing w:before="40" w:after="40" w:line="200" w:lineRule="exact"/>
              <w:rPr>
                <w:sz w:val="16"/>
                <w:szCs w:val="16"/>
              </w:rPr>
            </w:pPr>
            <w:r w:rsidRPr="00B56F37">
              <w:rPr>
                <w:sz w:val="16"/>
                <w:szCs w:val="16"/>
              </w:rPr>
              <w:t>Information asymmetry occurs in transactions where one party has more or better information than the other.</w:t>
            </w:r>
          </w:p>
        </w:tc>
      </w:tr>
      <w:tr w:rsidR="007B2C5E" w:rsidRPr="00B56F37" w14:paraId="507C4032"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633C5868" w14:textId="77777777" w:rsidR="007B2C5E" w:rsidRPr="00B56F37" w:rsidRDefault="007B2C5E" w:rsidP="00C44929">
            <w:pPr>
              <w:spacing w:before="40" w:after="40" w:line="200" w:lineRule="exact"/>
              <w:rPr>
                <w:b/>
                <w:sz w:val="16"/>
                <w:szCs w:val="16"/>
              </w:rPr>
            </w:pPr>
            <w:r w:rsidRPr="00B56F37">
              <w:rPr>
                <w:b/>
                <w:sz w:val="16"/>
                <w:szCs w:val="16"/>
              </w:rPr>
              <w:t xml:space="preserve">land sector </w:t>
            </w:r>
          </w:p>
        </w:tc>
        <w:tc>
          <w:tcPr>
            <w:tcW w:w="6493" w:type="dxa"/>
          </w:tcPr>
          <w:p w14:paraId="1D188392" w14:textId="5A057918" w:rsidR="007B2C5E" w:rsidRPr="00B56F37" w:rsidRDefault="007B2C5E" w:rsidP="00C44929">
            <w:pPr>
              <w:spacing w:before="40" w:after="40" w:line="200" w:lineRule="exact"/>
              <w:rPr>
                <w:sz w:val="16"/>
                <w:szCs w:val="16"/>
              </w:rPr>
            </w:pPr>
            <w:r w:rsidRPr="00B56F37">
              <w:rPr>
                <w:sz w:val="16"/>
                <w:szCs w:val="16"/>
              </w:rPr>
              <w:t>The land use and agriculture sectors (including savanna</w:t>
            </w:r>
            <w:r w:rsidR="007D5AEF" w:rsidRPr="00B56F37">
              <w:rPr>
                <w:sz w:val="16"/>
                <w:szCs w:val="16"/>
              </w:rPr>
              <w:t xml:space="preserve"> fire management</w:t>
            </w:r>
            <w:r w:rsidRPr="00B56F37">
              <w:rPr>
                <w:sz w:val="16"/>
                <w:szCs w:val="16"/>
              </w:rPr>
              <w:t>).</w:t>
            </w:r>
          </w:p>
        </w:tc>
      </w:tr>
      <w:tr w:rsidR="00A57A29" w:rsidRPr="00B56F37" w14:paraId="75AC9A7C"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57E4163A" w14:textId="78830DED" w:rsidR="00A57A29" w:rsidRPr="00B56F37" w:rsidRDefault="00A57A29" w:rsidP="00C44929">
            <w:pPr>
              <w:spacing w:before="40" w:after="40" w:line="200" w:lineRule="exact"/>
              <w:rPr>
                <w:b/>
                <w:sz w:val="16"/>
                <w:szCs w:val="16"/>
              </w:rPr>
            </w:pPr>
            <w:r w:rsidRPr="00B56F37">
              <w:rPr>
                <w:b/>
                <w:sz w:val="16"/>
                <w:szCs w:val="16"/>
              </w:rPr>
              <w:t>legislative rule</w:t>
            </w:r>
          </w:p>
        </w:tc>
        <w:tc>
          <w:tcPr>
            <w:tcW w:w="6493" w:type="dxa"/>
          </w:tcPr>
          <w:p w14:paraId="4F768FEA" w14:textId="31052054" w:rsidR="00A57A29" w:rsidRPr="00B56F37" w:rsidRDefault="00A57A29" w:rsidP="00E55312">
            <w:pPr>
              <w:spacing w:before="40" w:after="40" w:line="200" w:lineRule="exact"/>
              <w:rPr>
                <w:color w:val="1F497D"/>
                <w:sz w:val="16"/>
                <w:szCs w:val="16"/>
              </w:rPr>
            </w:pPr>
            <w:r w:rsidRPr="00B56F37">
              <w:rPr>
                <w:sz w:val="16"/>
                <w:szCs w:val="16"/>
              </w:rPr>
              <w:t>A legislative rule is legislation</w:t>
            </w:r>
            <w:r w:rsidR="008E25EF">
              <w:rPr>
                <w:sz w:val="16"/>
                <w:szCs w:val="16"/>
              </w:rPr>
              <w:t>,</w:t>
            </w:r>
            <w:r w:rsidRPr="00B56F37">
              <w:rPr>
                <w:sz w:val="16"/>
                <w:szCs w:val="16"/>
              </w:rPr>
              <w:t xml:space="preserve"> which supports the operation of an Act and can be implemented or amended without being passed by Parliament.</w:t>
            </w:r>
          </w:p>
          <w:p w14:paraId="64358E9A" w14:textId="77777777" w:rsidR="00A57A29" w:rsidRPr="00B56F37" w:rsidRDefault="00A57A29" w:rsidP="00C44929">
            <w:pPr>
              <w:spacing w:before="40" w:after="40" w:line="200" w:lineRule="exact"/>
              <w:rPr>
                <w:sz w:val="16"/>
                <w:szCs w:val="16"/>
              </w:rPr>
            </w:pPr>
          </w:p>
        </w:tc>
      </w:tr>
      <w:tr w:rsidR="007B2C5E" w:rsidRPr="00B56F37" w14:paraId="06ABAD25"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49B794EE" w14:textId="0B7C42E2" w:rsidR="007B2C5E" w:rsidRPr="00B56F37" w:rsidRDefault="00FC511C" w:rsidP="00C44929">
            <w:pPr>
              <w:spacing w:before="40" w:after="40" w:line="200" w:lineRule="exact"/>
              <w:rPr>
                <w:b/>
                <w:sz w:val="16"/>
                <w:szCs w:val="16"/>
              </w:rPr>
            </w:pPr>
            <w:r>
              <w:rPr>
                <w:b/>
                <w:sz w:val="16"/>
                <w:szCs w:val="16"/>
              </w:rPr>
              <w:t>m</w:t>
            </w:r>
            <w:r w:rsidR="007B2C5E" w:rsidRPr="00B56F37">
              <w:rPr>
                <w:b/>
                <w:sz w:val="16"/>
                <w:szCs w:val="16"/>
              </w:rPr>
              <w:t>ake</w:t>
            </w:r>
            <w:r w:rsidR="00FD10B2" w:rsidRPr="00B56F37">
              <w:rPr>
                <w:b/>
                <w:sz w:val="16"/>
                <w:szCs w:val="16"/>
              </w:rPr>
              <w:t>-</w:t>
            </w:r>
            <w:r w:rsidR="007B2C5E" w:rsidRPr="00B56F37">
              <w:rPr>
                <w:b/>
                <w:sz w:val="16"/>
                <w:szCs w:val="16"/>
              </w:rPr>
              <w:t>good provisions</w:t>
            </w:r>
          </w:p>
        </w:tc>
        <w:tc>
          <w:tcPr>
            <w:tcW w:w="6493" w:type="dxa"/>
          </w:tcPr>
          <w:p w14:paraId="22D95557" w14:textId="77777777" w:rsidR="007B2C5E" w:rsidRPr="00B56F37" w:rsidRDefault="007B2C5E" w:rsidP="00C44929">
            <w:pPr>
              <w:spacing w:before="40" w:after="40" w:line="200" w:lineRule="exact"/>
              <w:rPr>
                <w:sz w:val="16"/>
                <w:szCs w:val="16"/>
              </w:rPr>
            </w:pPr>
            <w:r w:rsidRPr="00B56F37">
              <w:rPr>
                <w:sz w:val="16"/>
                <w:szCs w:val="16"/>
              </w:rPr>
              <w:t>Allows scheme participants to meet their obligation to provide ACCUs from projects other than the project they bid on at auction</w:t>
            </w:r>
          </w:p>
        </w:tc>
      </w:tr>
      <w:tr w:rsidR="007B2C5E" w:rsidRPr="00B56F37" w14:paraId="6941B2C4"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031E234F" w14:textId="77777777" w:rsidR="007B2C5E" w:rsidRPr="00B56F37" w:rsidRDefault="007B2C5E" w:rsidP="00C44929">
            <w:pPr>
              <w:spacing w:before="40" w:after="40" w:line="200" w:lineRule="exact"/>
              <w:rPr>
                <w:b/>
                <w:sz w:val="16"/>
                <w:szCs w:val="16"/>
              </w:rPr>
            </w:pPr>
            <w:r w:rsidRPr="00B56F37">
              <w:rPr>
                <w:b/>
                <w:sz w:val="16"/>
                <w:szCs w:val="16"/>
              </w:rPr>
              <w:t>method</w:t>
            </w:r>
          </w:p>
        </w:tc>
        <w:tc>
          <w:tcPr>
            <w:tcW w:w="6493" w:type="dxa"/>
          </w:tcPr>
          <w:p w14:paraId="363D5063" w14:textId="77777777" w:rsidR="007B2C5E" w:rsidRPr="00B56F37" w:rsidRDefault="007B2C5E" w:rsidP="00C44929">
            <w:pPr>
              <w:spacing w:before="40" w:after="40" w:line="200" w:lineRule="exact"/>
              <w:rPr>
                <w:sz w:val="16"/>
                <w:szCs w:val="16"/>
              </w:rPr>
            </w:pPr>
            <w:r w:rsidRPr="00B56F37">
              <w:rPr>
                <w:sz w:val="16"/>
                <w:szCs w:val="16"/>
              </w:rPr>
              <w:t xml:space="preserve">A legislative instrument that sets the rules for ERF projects. </w:t>
            </w:r>
          </w:p>
        </w:tc>
      </w:tr>
      <w:tr w:rsidR="007B2C5E" w:rsidRPr="00B56F37" w14:paraId="01AB63C8"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18740104" w14:textId="77777777" w:rsidR="007B2C5E" w:rsidRPr="00B56F37" w:rsidRDefault="007B2C5E" w:rsidP="00C44929">
            <w:pPr>
              <w:spacing w:before="40" w:after="40" w:line="200" w:lineRule="exact"/>
              <w:rPr>
                <w:b/>
                <w:sz w:val="16"/>
                <w:szCs w:val="16"/>
              </w:rPr>
            </w:pPr>
            <w:r w:rsidRPr="00B56F37">
              <w:rPr>
                <w:b/>
                <w:sz w:val="16"/>
                <w:szCs w:val="16"/>
              </w:rPr>
              <w:t>National Greenhouse and Energy Reporting Act</w:t>
            </w:r>
          </w:p>
        </w:tc>
        <w:tc>
          <w:tcPr>
            <w:tcW w:w="6493" w:type="dxa"/>
          </w:tcPr>
          <w:p w14:paraId="3557BAF0" w14:textId="77777777" w:rsidR="007B2C5E" w:rsidRPr="00B56F37" w:rsidRDefault="007B2C5E" w:rsidP="00C44929">
            <w:pPr>
              <w:spacing w:before="40" w:after="40" w:line="200" w:lineRule="exact"/>
              <w:rPr>
                <w:sz w:val="16"/>
                <w:szCs w:val="16"/>
              </w:rPr>
            </w:pPr>
            <w:r w:rsidRPr="00B56F37">
              <w:rPr>
                <w:sz w:val="16"/>
                <w:szCs w:val="16"/>
              </w:rPr>
              <w:t>A national framework for reporting and releasing information about greenhouse gas emissions, energy production and energy consumption.</w:t>
            </w:r>
          </w:p>
        </w:tc>
      </w:tr>
      <w:tr w:rsidR="007B2C5E" w:rsidRPr="00B56F37" w14:paraId="57A3DBC4"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271F93EC" w14:textId="77777777" w:rsidR="007B2C5E" w:rsidRPr="00B56F37" w:rsidRDefault="007B2C5E" w:rsidP="00C44929">
            <w:pPr>
              <w:spacing w:before="40" w:after="40" w:line="200" w:lineRule="exact"/>
              <w:rPr>
                <w:b/>
                <w:sz w:val="16"/>
                <w:szCs w:val="16"/>
              </w:rPr>
            </w:pPr>
            <w:r w:rsidRPr="00B56F37">
              <w:rPr>
                <w:b/>
                <w:sz w:val="16"/>
                <w:szCs w:val="16"/>
              </w:rPr>
              <w:t>National Greenhouse Gas Inventory</w:t>
            </w:r>
          </w:p>
        </w:tc>
        <w:tc>
          <w:tcPr>
            <w:tcW w:w="6493" w:type="dxa"/>
          </w:tcPr>
          <w:p w14:paraId="017A9B48" w14:textId="77777777" w:rsidR="007B2C5E" w:rsidRPr="00B56F37" w:rsidRDefault="007B2C5E" w:rsidP="00C44929">
            <w:pPr>
              <w:spacing w:before="40" w:after="40" w:line="200" w:lineRule="exact"/>
              <w:rPr>
                <w:sz w:val="16"/>
                <w:szCs w:val="16"/>
              </w:rPr>
            </w:pPr>
            <w:r w:rsidRPr="00B56F37">
              <w:rPr>
                <w:sz w:val="16"/>
                <w:szCs w:val="16"/>
              </w:rPr>
              <w:t>An annual report to the United Nations Framework Convention on Climate Change that contains Australia’s greenhouse gas emissions data.</w:t>
            </w:r>
          </w:p>
        </w:tc>
      </w:tr>
      <w:tr w:rsidR="007B2C5E" w:rsidRPr="00B56F37" w14:paraId="61B3DFEF"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4432DA67" w14:textId="77777777" w:rsidR="007B2C5E" w:rsidRPr="00B56F37" w:rsidRDefault="007B2C5E" w:rsidP="00C44929">
            <w:pPr>
              <w:spacing w:before="40" w:after="40" w:line="200" w:lineRule="exact"/>
              <w:rPr>
                <w:b/>
                <w:sz w:val="16"/>
                <w:szCs w:val="16"/>
              </w:rPr>
            </w:pPr>
            <w:r w:rsidRPr="00B56F37">
              <w:rPr>
                <w:b/>
                <w:sz w:val="16"/>
                <w:szCs w:val="16"/>
              </w:rPr>
              <w:t>negative list</w:t>
            </w:r>
          </w:p>
        </w:tc>
        <w:tc>
          <w:tcPr>
            <w:tcW w:w="6493" w:type="dxa"/>
          </w:tcPr>
          <w:p w14:paraId="6DF16B72" w14:textId="77777777" w:rsidR="007B2C5E" w:rsidRPr="00B56F37" w:rsidRDefault="007B2C5E" w:rsidP="00C44929">
            <w:pPr>
              <w:spacing w:before="40" w:after="40" w:line="200" w:lineRule="exact"/>
              <w:rPr>
                <w:sz w:val="16"/>
                <w:szCs w:val="16"/>
              </w:rPr>
            </w:pPr>
            <w:r w:rsidRPr="00B56F37">
              <w:rPr>
                <w:sz w:val="16"/>
                <w:szCs w:val="16"/>
              </w:rPr>
              <w:t xml:space="preserve">Identifies types of projects that are likely to cause adverse impacts to one or more of the following: the availability of water, the conservation of biodiversity, the local community, and land access for agriculture production. </w:t>
            </w:r>
          </w:p>
        </w:tc>
      </w:tr>
      <w:tr w:rsidR="007B2C5E" w:rsidRPr="00B56F37" w14:paraId="3C06649D"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4CA2C6D7" w14:textId="77777777" w:rsidR="007B2C5E" w:rsidRPr="00B56F37" w:rsidRDefault="007B2C5E" w:rsidP="00C44929">
            <w:pPr>
              <w:spacing w:before="40" w:after="40" w:line="200" w:lineRule="exact"/>
              <w:rPr>
                <w:b/>
                <w:sz w:val="16"/>
                <w:szCs w:val="16"/>
              </w:rPr>
            </w:pPr>
            <w:r w:rsidRPr="00B56F37">
              <w:rPr>
                <w:b/>
                <w:sz w:val="16"/>
                <w:szCs w:val="16"/>
              </w:rPr>
              <w:t>offsets</w:t>
            </w:r>
          </w:p>
        </w:tc>
        <w:tc>
          <w:tcPr>
            <w:tcW w:w="6493" w:type="dxa"/>
          </w:tcPr>
          <w:p w14:paraId="1BB2F8FB" w14:textId="77777777" w:rsidR="007B2C5E" w:rsidRPr="00B56F37" w:rsidRDefault="007B2C5E" w:rsidP="00C44929">
            <w:pPr>
              <w:spacing w:before="40" w:after="40" w:line="200" w:lineRule="exact"/>
              <w:rPr>
                <w:sz w:val="16"/>
                <w:szCs w:val="16"/>
              </w:rPr>
            </w:pPr>
            <w:r w:rsidRPr="00B56F37">
              <w:rPr>
                <w:sz w:val="16"/>
                <w:szCs w:val="16"/>
              </w:rPr>
              <w:t>An emissions offset is a reduction in emissions made in order to compensate for or offset an emission made elsewhere.</w:t>
            </w:r>
          </w:p>
        </w:tc>
      </w:tr>
      <w:tr w:rsidR="007B2C5E" w:rsidRPr="00B56F37" w14:paraId="014363F5"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5C4EB40C" w14:textId="77777777" w:rsidR="007B2C5E" w:rsidRPr="00B56F37" w:rsidRDefault="007B2C5E" w:rsidP="00C44929">
            <w:pPr>
              <w:spacing w:before="40" w:after="40" w:line="200" w:lineRule="exact"/>
              <w:rPr>
                <w:b/>
                <w:sz w:val="16"/>
                <w:szCs w:val="16"/>
              </w:rPr>
            </w:pPr>
            <w:r w:rsidRPr="00B56F37">
              <w:rPr>
                <w:b/>
                <w:sz w:val="16"/>
                <w:szCs w:val="16"/>
              </w:rPr>
              <w:t>offsets integrity standard</w:t>
            </w:r>
          </w:p>
        </w:tc>
        <w:tc>
          <w:tcPr>
            <w:tcW w:w="6493" w:type="dxa"/>
          </w:tcPr>
          <w:p w14:paraId="525E2878" w14:textId="77777777" w:rsidR="007B2C5E" w:rsidRPr="00B56F37" w:rsidRDefault="007B2C5E" w:rsidP="00C44929">
            <w:pPr>
              <w:spacing w:before="40" w:after="40" w:line="200" w:lineRule="exact"/>
              <w:rPr>
                <w:sz w:val="16"/>
                <w:szCs w:val="16"/>
              </w:rPr>
            </w:pPr>
            <w:r w:rsidRPr="00B56F37">
              <w:rPr>
                <w:sz w:val="16"/>
                <w:szCs w:val="16"/>
              </w:rPr>
              <w:t>A legislative standard in the ERF to ensure that ACCUs are issued for genuine, additional emissions reductions.</w:t>
            </w:r>
          </w:p>
        </w:tc>
      </w:tr>
      <w:tr w:rsidR="007B2C5E" w:rsidRPr="00B56F37" w14:paraId="52E913E9"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115E51BF" w14:textId="77777777" w:rsidR="007B2C5E" w:rsidRPr="00B56F37" w:rsidRDefault="007B2C5E" w:rsidP="00C44929">
            <w:pPr>
              <w:spacing w:before="40" w:after="40" w:line="200" w:lineRule="exact"/>
              <w:rPr>
                <w:b/>
                <w:sz w:val="16"/>
                <w:szCs w:val="16"/>
              </w:rPr>
            </w:pPr>
            <w:r w:rsidRPr="00B56F37">
              <w:rPr>
                <w:b/>
                <w:sz w:val="16"/>
                <w:szCs w:val="16"/>
              </w:rPr>
              <w:t>Paris Agreement</w:t>
            </w:r>
          </w:p>
        </w:tc>
        <w:tc>
          <w:tcPr>
            <w:tcW w:w="6493" w:type="dxa"/>
          </w:tcPr>
          <w:p w14:paraId="6A72D883" w14:textId="77777777" w:rsidR="007B2C5E" w:rsidRPr="00B56F37" w:rsidRDefault="007B2C5E" w:rsidP="00C44929">
            <w:pPr>
              <w:spacing w:before="40" w:after="40" w:line="200" w:lineRule="exact"/>
              <w:rPr>
                <w:sz w:val="16"/>
                <w:szCs w:val="16"/>
              </w:rPr>
            </w:pPr>
            <w:r w:rsidRPr="00B56F37">
              <w:rPr>
                <w:sz w:val="16"/>
                <w:szCs w:val="16"/>
              </w:rPr>
              <w:t xml:space="preserve">An international agreement adopted under the United Nations Framework Convention on Climate Change in 2015. </w:t>
            </w:r>
          </w:p>
        </w:tc>
      </w:tr>
      <w:tr w:rsidR="007B2C5E" w:rsidRPr="00B56F37" w14:paraId="4B6EF198"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52ADAC9B" w14:textId="77777777" w:rsidR="007B2C5E" w:rsidRPr="00B56F37" w:rsidRDefault="007B2C5E" w:rsidP="00C44929">
            <w:pPr>
              <w:spacing w:before="40" w:after="40" w:line="200" w:lineRule="exact"/>
              <w:rPr>
                <w:b/>
                <w:sz w:val="16"/>
                <w:szCs w:val="16"/>
              </w:rPr>
            </w:pPr>
            <w:r w:rsidRPr="00B56F37">
              <w:rPr>
                <w:b/>
                <w:sz w:val="16"/>
                <w:szCs w:val="16"/>
              </w:rPr>
              <w:t>permanence period</w:t>
            </w:r>
          </w:p>
        </w:tc>
        <w:tc>
          <w:tcPr>
            <w:tcW w:w="6493" w:type="dxa"/>
          </w:tcPr>
          <w:p w14:paraId="6BC3A3C7" w14:textId="77777777" w:rsidR="007B2C5E" w:rsidRPr="00B56F37" w:rsidRDefault="007B2C5E" w:rsidP="00C44929">
            <w:pPr>
              <w:spacing w:before="40" w:after="40" w:line="200" w:lineRule="exact"/>
              <w:rPr>
                <w:sz w:val="16"/>
                <w:szCs w:val="16"/>
              </w:rPr>
            </w:pPr>
            <w:r w:rsidRPr="00B56F37">
              <w:rPr>
                <w:sz w:val="16"/>
                <w:szCs w:val="16"/>
              </w:rPr>
              <w:t xml:space="preserve">Period over which scheme participants must maintain the carbon stored by ERF projects. </w:t>
            </w:r>
          </w:p>
        </w:tc>
      </w:tr>
      <w:tr w:rsidR="007B2C5E" w:rsidRPr="00B56F37" w14:paraId="3A58B28C"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7A37280F" w14:textId="77777777" w:rsidR="007B2C5E" w:rsidRPr="00B56F37" w:rsidRDefault="007B2C5E" w:rsidP="00C44929">
            <w:pPr>
              <w:spacing w:before="40" w:after="40" w:line="200" w:lineRule="exact"/>
              <w:rPr>
                <w:b/>
                <w:sz w:val="16"/>
                <w:szCs w:val="16"/>
              </w:rPr>
            </w:pPr>
            <w:r w:rsidRPr="00B56F37">
              <w:rPr>
                <w:b/>
                <w:sz w:val="16"/>
                <w:szCs w:val="16"/>
              </w:rPr>
              <w:t>positive list</w:t>
            </w:r>
          </w:p>
        </w:tc>
        <w:tc>
          <w:tcPr>
            <w:tcW w:w="6493" w:type="dxa"/>
          </w:tcPr>
          <w:p w14:paraId="3108D178" w14:textId="76F843C8" w:rsidR="007B2C5E" w:rsidRPr="00B56F37" w:rsidRDefault="007B2C5E" w:rsidP="00C44929">
            <w:pPr>
              <w:spacing w:before="40" w:after="40" w:line="200" w:lineRule="exact"/>
              <w:rPr>
                <w:sz w:val="16"/>
                <w:szCs w:val="16"/>
              </w:rPr>
            </w:pPr>
            <w:r w:rsidRPr="00B56F37">
              <w:rPr>
                <w:sz w:val="16"/>
                <w:szCs w:val="16"/>
              </w:rPr>
              <w:t xml:space="preserve">Regulation containing a list of additional emissions reduction activities eligible to earn </w:t>
            </w:r>
            <w:r w:rsidR="002B73FA" w:rsidRPr="00B56F37">
              <w:rPr>
                <w:sz w:val="16"/>
                <w:szCs w:val="16"/>
              </w:rPr>
              <w:t>ACCUs</w:t>
            </w:r>
            <w:r w:rsidRPr="00B56F37">
              <w:rPr>
                <w:sz w:val="16"/>
                <w:szCs w:val="16"/>
              </w:rPr>
              <w:t xml:space="preserve"> under the CFI. </w:t>
            </w:r>
          </w:p>
        </w:tc>
      </w:tr>
      <w:tr w:rsidR="007B2C5E" w:rsidRPr="00B56F37" w:rsidDel="00B4253A" w14:paraId="0C1A54DC"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77C68969" w14:textId="77777777" w:rsidR="007B2C5E" w:rsidRPr="00B56F37" w:rsidDel="00890086" w:rsidRDefault="007B2C5E" w:rsidP="00C44929">
            <w:pPr>
              <w:spacing w:before="40" w:after="40" w:line="200" w:lineRule="exact"/>
              <w:rPr>
                <w:rStyle w:val="CommentReference"/>
                <w:b/>
              </w:rPr>
            </w:pPr>
            <w:r w:rsidRPr="00B56F37">
              <w:rPr>
                <w:rStyle w:val="CommentReference"/>
                <w:b/>
              </w:rPr>
              <w:t>reverse auction</w:t>
            </w:r>
          </w:p>
        </w:tc>
        <w:tc>
          <w:tcPr>
            <w:tcW w:w="6493" w:type="dxa"/>
          </w:tcPr>
          <w:p w14:paraId="16927835" w14:textId="77777777" w:rsidR="007B2C5E" w:rsidRPr="00B56F37" w:rsidDel="00B4253A" w:rsidRDefault="009028E0" w:rsidP="00C44929">
            <w:pPr>
              <w:spacing w:before="40" w:after="40" w:line="200" w:lineRule="exact"/>
              <w:rPr>
                <w:sz w:val="16"/>
                <w:szCs w:val="16"/>
              </w:rPr>
            </w:pPr>
            <w:r w:rsidRPr="00B56F37">
              <w:rPr>
                <w:sz w:val="16"/>
                <w:szCs w:val="16"/>
              </w:rPr>
              <w:t xml:space="preserve">In a reverse auction, the sellers compete to win the auction and prices will typically decrease as the sellers underbid each other. </w:t>
            </w:r>
          </w:p>
        </w:tc>
      </w:tr>
      <w:tr w:rsidR="007B2C5E" w:rsidRPr="00B56F37" w14:paraId="0A40648C"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693639F6" w14:textId="77777777" w:rsidR="007B2C5E" w:rsidRPr="00B56F37" w:rsidRDefault="007B2C5E" w:rsidP="00C44929">
            <w:pPr>
              <w:spacing w:before="40" w:after="40" w:line="200" w:lineRule="exact"/>
              <w:rPr>
                <w:b/>
                <w:sz w:val="16"/>
                <w:szCs w:val="16"/>
              </w:rPr>
            </w:pPr>
            <w:r w:rsidRPr="00B56F37">
              <w:rPr>
                <w:b/>
                <w:sz w:val="16"/>
                <w:szCs w:val="16"/>
              </w:rPr>
              <w:t>risk of reversal buffer</w:t>
            </w:r>
          </w:p>
        </w:tc>
        <w:tc>
          <w:tcPr>
            <w:tcW w:w="6493" w:type="dxa"/>
          </w:tcPr>
          <w:p w14:paraId="605A7B7D" w14:textId="77777777" w:rsidR="007B2C5E" w:rsidRPr="00B56F37" w:rsidRDefault="007B2C5E" w:rsidP="00C44929">
            <w:pPr>
              <w:spacing w:before="40" w:after="40" w:line="200" w:lineRule="exact"/>
              <w:rPr>
                <w:sz w:val="16"/>
                <w:szCs w:val="16"/>
              </w:rPr>
            </w:pPr>
            <w:r w:rsidRPr="00B56F37">
              <w:rPr>
                <w:sz w:val="16"/>
                <w:szCs w:val="16"/>
              </w:rPr>
              <w:t>A scheme wide mechanism that withholds 5 per cent of ACCUs from sequestration projects to protect the scheme from temporary losses of carbon</w:t>
            </w:r>
          </w:p>
        </w:tc>
      </w:tr>
      <w:tr w:rsidR="007B2C5E" w:rsidRPr="00B56F37" w14:paraId="0CFB983F"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635E052E" w14:textId="77777777" w:rsidR="007B2C5E" w:rsidRPr="00B56F37" w:rsidRDefault="007B2C5E" w:rsidP="00C44929">
            <w:pPr>
              <w:spacing w:before="40" w:after="40" w:line="200" w:lineRule="exact"/>
              <w:rPr>
                <w:b/>
                <w:sz w:val="16"/>
                <w:szCs w:val="16"/>
              </w:rPr>
            </w:pPr>
            <w:r w:rsidRPr="00B56F37">
              <w:rPr>
                <w:b/>
                <w:sz w:val="16"/>
                <w:szCs w:val="16"/>
              </w:rPr>
              <w:t>safeguard mechanism</w:t>
            </w:r>
          </w:p>
        </w:tc>
        <w:tc>
          <w:tcPr>
            <w:tcW w:w="6493" w:type="dxa"/>
          </w:tcPr>
          <w:p w14:paraId="28F9AA00" w14:textId="2A33FDA3" w:rsidR="007B2C5E" w:rsidRPr="00B56F37" w:rsidRDefault="007B2C5E" w:rsidP="002800B4">
            <w:pPr>
              <w:spacing w:before="40" w:after="40" w:line="200" w:lineRule="exact"/>
              <w:rPr>
                <w:sz w:val="16"/>
                <w:szCs w:val="16"/>
              </w:rPr>
            </w:pPr>
            <w:r w:rsidRPr="00B56F37">
              <w:rPr>
                <w:sz w:val="16"/>
                <w:szCs w:val="16"/>
              </w:rPr>
              <w:t xml:space="preserve">An element of the ERF that establishes regulatory limits for large emitters that exceed a defined baseline. </w:t>
            </w:r>
          </w:p>
        </w:tc>
      </w:tr>
      <w:tr w:rsidR="007B2C5E" w:rsidRPr="00B56F37" w14:paraId="10BD3512"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2B0C5EFD" w14:textId="77777777" w:rsidR="007B2C5E" w:rsidRPr="00B56F37" w:rsidRDefault="007B2C5E" w:rsidP="00C44929">
            <w:pPr>
              <w:spacing w:before="40" w:after="40" w:line="200" w:lineRule="exact"/>
              <w:rPr>
                <w:b/>
                <w:sz w:val="16"/>
                <w:szCs w:val="16"/>
              </w:rPr>
            </w:pPr>
            <w:r w:rsidRPr="00B56F37">
              <w:rPr>
                <w:b/>
                <w:sz w:val="16"/>
                <w:szCs w:val="16"/>
              </w:rPr>
              <w:t>scheme participant</w:t>
            </w:r>
          </w:p>
        </w:tc>
        <w:tc>
          <w:tcPr>
            <w:tcW w:w="6493" w:type="dxa"/>
          </w:tcPr>
          <w:p w14:paraId="14A4C8EF" w14:textId="77777777" w:rsidR="007B2C5E" w:rsidRPr="00B56F37" w:rsidRDefault="007B2C5E" w:rsidP="00C44929">
            <w:pPr>
              <w:spacing w:before="40" w:after="40" w:line="200" w:lineRule="exact"/>
              <w:rPr>
                <w:sz w:val="16"/>
                <w:szCs w:val="16"/>
              </w:rPr>
            </w:pPr>
            <w:r w:rsidRPr="00B56F37">
              <w:rPr>
                <w:sz w:val="16"/>
                <w:szCs w:val="16"/>
              </w:rPr>
              <w:t xml:space="preserve">The person who is responsible for, and has the legal right to, carry out an ERF project. </w:t>
            </w:r>
          </w:p>
        </w:tc>
      </w:tr>
      <w:tr w:rsidR="007B2C5E" w:rsidRPr="00B56F37" w14:paraId="15D2E8D5"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45A9A883" w14:textId="77777777" w:rsidR="007B2C5E" w:rsidRPr="00B56F37" w:rsidRDefault="007B2C5E" w:rsidP="00C44929">
            <w:pPr>
              <w:spacing w:before="40" w:after="40" w:line="200" w:lineRule="exact"/>
              <w:rPr>
                <w:b/>
                <w:sz w:val="16"/>
                <w:szCs w:val="16"/>
              </w:rPr>
            </w:pPr>
            <w:r w:rsidRPr="00B56F37">
              <w:rPr>
                <w:b/>
                <w:sz w:val="16"/>
                <w:szCs w:val="16"/>
              </w:rPr>
              <w:t>secondary market</w:t>
            </w:r>
          </w:p>
        </w:tc>
        <w:tc>
          <w:tcPr>
            <w:tcW w:w="6493" w:type="dxa"/>
          </w:tcPr>
          <w:p w14:paraId="18B2938B" w14:textId="77777777" w:rsidR="007B2C5E" w:rsidRPr="00B56F37" w:rsidRDefault="007B2C5E" w:rsidP="00C44929">
            <w:pPr>
              <w:spacing w:before="40" w:after="40" w:line="200" w:lineRule="exact"/>
              <w:rPr>
                <w:sz w:val="16"/>
                <w:szCs w:val="16"/>
              </w:rPr>
            </w:pPr>
            <w:r w:rsidRPr="00B56F37">
              <w:rPr>
                <w:sz w:val="16"/>
                <w:szCs w:val="16"/>
              </w:rPr>
              <w:t>A market where ACCUs are purchased outside of a contract with the Government.</w:t>
            </w:r>
          </w:p>
        </w:tc>
      </w:tr>
      <w:tr w:rsidR="007B2C5E" w:rsidRPr="00B56F37" w14:paraId="22C7BDD7" w14:textId="77777777" w:rsidTr="00851B57">
        <w:trPr>
          <w:cnfStyle w:val="000000010000" w:firstRow="0" w:lastRow="0" w:firstColumn="0" w:lastColumn="0" w:oddVBand="0" w:evenVBand="0" w:oddHBand="0" w:evenHBand="1" w:firstRowFirstColumn="0" w:firstRowLastColumn="0" w:lastRowFirstColumn="0" w:lastRowLastColumn="0"/>
          <w:trHeight w:val="454"/>
        </w:trPr>
        <w:tc>
          <w:tcPr>
            <w:tcW w:w="2719" w:type="dxa"/>
          </w:tcPr>
          <w:p w14:paraId="573AE2BC" w14:textId="77777777" w:rsidR="007B2C5E" w:rsidRPr="00B56F37" w:rsidRDefault="007B2C5E" w:rsidP="00C44929">
            <w:pPr>
              <w:spacing w:before="40" w:after="40" w:line="200" w:lineRule="exact"/>
              <w:rPr>
                <w:b/>
                <w:sz w:val="16"/>
                <w:szCs w:val="16"/>
              </w:rPr>
            </w:pPr>
            <w:r w:rsidRPr="00B56F37">
              <w:rPr>
                <w:b/>
                <w:sz w:val="16"/>
                <w:szCs w:val="16"/>
              </w:rPr>
              <w:t>sequestration/storage</w:t>
            </w:r>
          </w:p>
        </w:tc>
        <w:tc>
          <w:tcPr>
            <w:tcW w:w="6493" w:type="dxa"/>
          </w:tcPr>
          <w:p w14:paraId="09191859" w14:textId="3487CEBD" w:rsidR="007B2C5E" w:rsidRPr="00B56F37" w:rsidRDefault="007B2C5E" w:rsidP="00851B57">
            <w:pPr>
              <w:pStyle w:val="CommentText"/>
              <w:spacing w:after="40"/>
              <w:rPr>
                <w:sz w:val="16"/>
                <w:szCs w:val="16"/>
              </w:rPr>
            </w:pPr>
            <w:r w:rsidRPr="00B56F37">
              <w:rPr>
                <w:sz w:val="16"/>
                <w:szCs w:val="16"/>
              </w:rPr>
              <w:t xml:space="preserve">The removal of atmospheric carbon dioxide, </w:t>
            </w:r>
            <w:r w:rsidR="00C25B76" w:rsidRPr="00B56F37">
              <w:rPr>
                <w:sz w:val="16"/>
                <w:szCs w:val="16"/>
              </w:rPr>
              <w:t>by storing it in living biomass, dead organic matter or so</w:t>
            </w:r>
            <w:r w:rsidR="00851B57" w:rsidRPr="00B56F37">
              <w:rPr>
                <w:sz w:val="16"/>
                <w:szCs w:val="16"/>
              </w:rPr>
              <w:t>il.</w:t>
            </w:r>
          </w:p>
        </w:tc>
      </w:tr>
      <w:tr w:rsidR="007B2C5E" w:rsidRPr="00B56F37" w14:paraId="564E21E5" w14:textId="77777777" w:rsidTr="00C44929">
        <w:trPr>
          <w:cnfStyle w:val="000000100000" w:firstRow="0" w:lastRow="0" w:firstColumn="0" w:lastColumn="0" w:oddVBand="0" w:evenVBand="0" w:oddHBand="1" w:evenHBand="0" w:firstRowFirstColumn="0" w:firstRowLastColumn="0" w:lastRowFirstColumn="0" w:lastRowLastColumn="0"/>
        </w:trPr>
        <w:tc>
          <w:tcPr>
            <w:tcW w:w="2719" w:type="dxa"/>
          </w:tcPr>
          <w:p w14:paraId="63CA9AB9" w14:textId="77777777" w:rsidR="007B2C5E" w:rsidRPr="00B56F37" w:rsidRDefault="007B2C5E" w:rsidP="00C44929">
            <w:pPr>
              <w:spacing w:before="40" w:after="40" w:line="200" w:lineRule="exact"/>
              <w:rPr>
                <w:b/>
                <w:sz w:val="16"/>
                <w:szCs w:val="16"/>
              </w:rPr>
            </w:pPr>
            <w:r w:rsidRPr="00B56F37">
              <w:rPr>
                <w:b/>
                <w:sz w:val="16"/>
                <w:szCs w:val="16"/>
              </w:rPr>
              <w:t>transaction costs</w:t>
            </w:r>
          </w:p>
        </w:tc>
        <w:tc>
          <w:tcPr>
            <w:tcW w:w="6493" w:type="dxa"/>
          </w:tcPr>
          <w:p w14:paraId="6E9E9F32" w14:textId="09B13380" w:rsidR="007B2C5E" w:rsidRPr="00B56F37" w:rsidRDefault="007B2C5E" w:rsidP="00BF4CFF">
            <w:pPr>
              <w:spacing w:before="40" w:after="40" w:line="200" w:lineRule="exact"/>
              <w:rPr>
                <w:sz w:val="16"/>
                <w:szCs w:val="16"/>
              </w:rPr>
            </w:pPr>
            <w:r w:rsidRPr="00B56F37">
              <w:rPr>
                <w:sz w:val="16"/>
                <w:szCs w:val="16"/>
              </w:rPr>
              <w:t xml:space="preserve">The costs of participating in a market. In the case of the ERF, transaction costs are all costs from developing, approving and administering projects apart from costs directly associated with implementing and maintaining the project itself. Transaction costs also include costs to government and </w:t>
            </w:r>
            <w:r w:rsidR="00BF4CFF" w:rsidRPr="00B56F37">
              <w:rPr>
                <w:sz w:val="16"/>
                <w:szCs w:val="16"/>
              </w:rPr>
              <w:t>scheme participants</w:t>
            </w:r>
            <w:r w:rsidRPr="00B56F37">
              <w:rPr>
                <w:sz w:val="16"/>
                <w:szCs w:val="16"/>
              </w:rPr>
              <w:t xml:space="preserve"> for method development, reporting and verification.</w:t>
            </w:r>
          </w:p>
        </w:tc>
      </w:tr>
      <w:tr w:rsidR="007B2C5E" w:rsidRPr="00B56F37" w14:paraId="7652C729" w14:textId="77777777" w:rsidTr="00C44929">
        <w:trPr>
          <w:cnfStyle w:val="000000010000" w:firstRow="0" w:lastRow="0" w:firstColumn="0" w:lastColumn="0" w:oddVBand="0" w:evenVBand="0" w:oddHBand="0" w:evenHBand="1" w:firstRowFirstColumn="0" w:firstRowLastColumn="0" w:lastRowFirstColumn="0" w:lastRowLastColumn="0"/>
        </w:trPr>
        <w:tc>
          <w:tcPr>
            <w:tcW w:w="2719" w:type="dxa"/>
          </w:tcPr>
          <w:p w14:paraId="0E773B37" w14:textId="77777777" w:rsidR="007B2C5E" w:rsidRPr="00B56F37" w:rsidRDefault="007B2C5E" w:rsidP="00C44929">
            <w:pPr>
              <w:spacing w:before="40" w:after="40" w:line="200" w:lineRule="exact"/>
              <w:rPr>
                <w:b/>
                <w:sz w:val="16"/>
                <w:szCs w:val="16"/>
              </w:rPr>
            </w:pPr>
            <w:r w:rsidRPr="00B56F37">
              <w:rPr>
                <w:b/>
                <w:sz w:val="16"/>
                <w:szCs w:val="16"/>
              </w:rPr>
              <w:t>United Nations Framework Convention on Climate Change (UNFCCC)</w:t>
            </w:r>
          </w:p>
        </w:tc>
        <w:tc>
          <w:tcPr>
            <w:tcW w:w="6493" w:type="dxa"/>
          </w:tcPr>
          <w:p w14:paraId="0F276B79" w14:textId="77777777" w:rsidR="007B2C5E" w:rsidRPr="00B56F37" w:rsidRDefault="007B2C5E" w:rsidP="00C44929">
            <w:pPr>
              <w:spacing w:before="40" w:after="40" w:line="200" w:lineRule="exact"/>
              <w:rPr>
                <w:sz w:val="16"/>
                <w:szCs w:val="16"/>
              </w:rPr>
            </w:pPr>
            <w:r w:rsidRPr="00B56F37">
              <w:rPr>
                <w:sz w:val="16"/>
                <w:szCs w:val="16"/>
              </w:rPr>
              <w:t xml:space="preserve">An international treaty that commits signatory countries (Parties) to stabilise greenhouse gas concentrations in the atmosphere at a level that would prevent dangerous human-induced interference with the climate system. </w:t>
            </w:r>
          </w:p>
        </w:tc>
      </w:tr>
    </w:tbl>
    <w:p w14:paraId="60AF77AA" w14:textId="77777777" w:rsidR="003D2677" w:rsidRPr="005206CA" w:rsidRDefault="003D2677" w:rsidP="003D2677">
      <w:pPr>
        <w:pStyle w:val="ccabodycopy"/>
        <w:rPr>
          <w:lang w:val="en-GB"/>
        </w:rPr>
      </w:pPr>
    </w:p>
    <w:p w14:paraId="468E93B1" w14:textId="77777777" w:rsidR="003D2677" w:rsidRPr="005206CA" w:rsidRDefault="003D2677" w:rsidP="00E07FAD">
      <w:pPr>
        <w:pStyle w:val="Heading1nonumber"/>
        <w:rPr>
          <w:lang w:val="en-GB"/>
        </w:rPr>
      </w:pPr>
      <w:bookmarkStart w:id="1895" w:name="_Toc498691609"/>
      <w:bookmarkStart w:id="1896" w:name="_Toc499043791"/>
      <w:bookmarkStart w:id="1897" w:name="_Toc499051816"/>
      <w:bookmarkStart w:id="1898" w:name="_Toc500251168"/>
      <w:bookmarkStart w:id="1899" w:name="_Toc500251443"/>
      <w:bookmarkStart w:id="1900" w:name="_Toc500254040"/>
      <w:bookmarkStart w:id="1901" w:name="_Toc500401545"/>
      <w:bookmarkStart w:id="1902" w:name="_Toc500491033"/>
      <w:bookmarkStart w:id="1903" w:name="_Toc500512970"/>
      <w:bookmarkStart w:id="1904" w:name="_Toc500514230"/>
      <w:bookmarkStart w:id="1905" w:name="_Toc500516282"/>
      <w:r w:rsidRPr="005206CA">
        <w:rPr>
          <w:lang w:val="en-GB"/>
        </w:rPr>
        <w:t>Abbreviations and acronyms</w:t>
      </w:r>
      <w:bookmarkEnd w:id="1895"/>
      <w:bookmarkEnd w:id="1896"/>
      <w:bookmarkEnd w:id="1897"/>
      <w:bookmarkEnd w:id="1898"/>
      <w:bookmarkEnd w:id="1899"/>
      <w:bookmarkEnd w:id="1900"/>
      <w:bookmarkEnd w:id="1901"/>
      <w:bookmarkEnd w:id="1902"/>
      <w:bookmarkEnd w:id="1903"/>
      <w:bookmarkEnd w:id="1904"/>
      <w:bookmarkEnd w:id="1905"/>
    </w:p>
    <w:tbl>
      <w:tblPr>
        <w:tblW w:w="9170" w:type="dxa"/>
        <w:tblBorders>
          <w:bottom w:val="single" w:sz="4" w:space="0" w:color="auto"/>
          <w:insideH w:val="dotted" w:sz="4" w:space="0" w:color="auto"/>
        </w:tblBorders>
        <w:tblCellMar>
          <w:top w:w="15" w:type="dxa"/>
          <w:left w:w="15" w:type="dxa"/>
          <w:bottom w:w="15" w:type="dxa"/>
          <w:right w:w="15" w:type="dxa"/>
        </w:tblCellMar>
        <w:tblLook w:val="04A0" w:firstRow="1" w:lastRow="0" w:firstColumn="1" w:lastColumn="0" w:noHBand="0" w:noVBand="1"/>
      </w:tblPr>
      <w:tblGrid>
        <w:gridCol w:w="1276"/>
        <w:gridCol w:w="7894"/>
      </w:tblGrid>
      <w:tr w:rsidR="00AE26F3" w:rsidRPr="00B56F37" w14:paraId="51A2FE45" w14:textId="77777777" w:rsidTr="00B56F37">
        <w:trPr>
          <w:trHeight w:val="272"/>
        </w:trPr>
        <w:tc>
          <w:tcPr>
            <w:tcW w:w="1276" w:type="dxa"/>
            <w:vAlign w:val="center"/>
          </w:tcPr>
          <w:p w14:paraId="2F6B7FE5" w14:textId="75870962"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2017 review</w:t>
            </w:r>
          </w:p>
        </w:tc>
        <w:tc>
          <w:tcPr>
            <w:tcW w:w="7894" w:type="dxa"/>
            <w:vAlign w:val="center"/>
          </w:tcPr>
          <w:p w14:paraId="4A16395A" w14:textId="42AEB0C9"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Department of the Environment and Energy’s 2017 Review of Australia’s climate change policies</w:t>
            </w:r>
          </w:p>
        </w:tc>
      </w:tr>
      <w:tr w:rsidR="00AE26F3" w:rsidRPr="00B56F37" w14:paraId="277F2C8E" w14:textId="77777777" w:rsidTr="00B56F37">
        <w:trPr>
          <w:trHeight w:val="272"/>
        </w:trPr>
        <w:tc>
          <w:tcPr>
            <w:tcW w:w="1276" w:type="dxa"/>
            <w:vAlign w:val="center"/>
          </w:tcPr>
          <w:p w14:paraId="5E061125" w14:textId="6386F44A"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ACCC</w:t>
            </w:r>
          </w:p>
        </w:tc>
        <w:tc>
          <w:tcPr>
            <w:tcW w:w="7894" w:type="dxa"/>
            <w:vAlign w:val="center"/>
          </w:tcPr>
          <w:p w14:paraId="29CC8E63" w14:textId="7348D63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Australian Competition and Consumer Commission</w:t>
            </w:r>
          </w:p>
        </w:tc>
      </w:tr>
      <w:tr w:rsidR="00293140" w:rsidRPr="00B56F37" w14:paraId="2ABDDA61" w14:textId="77777777" w:rsidTr="00B56F37">
        <w:trPr>
          <w:trHeight w:val="272"/>
        </w:trPr>
        <w:tc>
          <w:tcPr>
            <w:tcW w:w="1276" w:type="dxa"/>
            <w:vAlign w:val="center"/>
          </w:tcPr>
          <w:p w14:paraId="66C4CC75"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ACCUs</w:t>
            </w:r>
          </w:p>
        </w:tc>
        <w:tc>
          <w:tcPr>
            <w:tcW w:w="7894" w:type="dxa"/>
            <w:vAlign w:val="center"/>
          </w:tcPr>
          <w:p w14:paraId="26E49892"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Australian Carbon Credit Units</w:t>
            </w:r>
          </w:p>
        </w:tc>
      </w:tr>
      <w:tr w:rsidR="00293140" w:rsidRPr="00B56F37" w14:paraId="4094B485" w14:textId="77777777" w:rsidTr="00B56F37">
        <w:trPr>
          <w:trHeight w:val="272"/>
        </w:trPr>
        <w:tc>
          <w:tcPr>
            <w:tcW w:w="1276" w:type="dxa"/>
            <w:vAlign w:val="center"/>
          </w:tcPr>
          <w:p w14:paraId="013D6DBF"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ALFA</w:t>
            </w:r>
          </w:p>
        </w:tc>
        <w:tc>
          <w:tcPr>
            <w:tcW w:w="7894" w:type="dxa"/>
            <w:vAlign w:val="center"/>
          </w:tcPr>
          <w:p w14:paraId="2CA7E8A4" w14:textId="5EEDE495"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Arnhem Land Fire Abatement</w:t>
            </w:r>
            <w:r w:rsidR="00AE26F3" w:rsidRPr="00B56F37">
              <w:rPr>
                <w:rFonts w:ascii="Arial" w:hAnsi="Arial" w:cs="Arial"/>
                <w:sz w:val="16"/>
                <w:szCs w:val="16"/>
              </w:rPr>
              <w:t xml:space="preserve"> (NT)</w:t>
            </w:r>
          </w:p>
        </w:tc>
      </w:tr>
      <w:tr w:rsidR="00AE26F3" w:rsidRPr="00B56F37" w14:paraId="5A30AE44" w14:textId="77777777" w:rsidTr="00B56F37">
        <w:trPr>
          <w:trHeight w:val="272"/>
        </w:trPr>
        <w:tc>
          <w:tcPr>
            <w:tcW w:w="1276" w:type="dxa"/>
            <w:vAlign w:val="center"/>
          </w:tcPr>
          <w:p w14:paraId="7CD0374D" w14:textId="4B561FF1"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ANAO</w:t>
            </w:r>
          </w:p>
        </w:tc>
        <w:tc>
          <w:tcPr>
            <w:tcW w:w="7894" w:type="dxa"/>
            <w:vAlign w:val="center"/>
          </w:tcPr>
          <w:p w14:paraId="5AE6900A" w14:textId="42143119"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Australian National Audit Office</w:t>
            </w:r>
          </w:p>
        </w:tc>
      </w:tr>
      <w:tr w:rsidR="00F17D1D" w:rsidRPr="00B56F37" w14:paraId="4D7A9839" w14:textId="77777777" w:rsidTr="00B56F37">
        <w:trPr>
          <w:trHeight w:val="272"/>
        </w:trPr>
        <w:tc>
          <w:tcPr>
            <w:tcW w:w="1276" w:type="dxa"/>
            <w:vAlign w:val="center"/>
          </w:tcPr>
          <w:p w14:paraId="76FB0942" w14:textId="43AACCF9" w:rsidR="00F17D1D" w:rsidRPr="00B56F37" w:rsidRDefault="00F17D1D" w:rsidP="00B56F37">
            <w:pPr>
              <w:pStyle w:val="ccatabletext0"/>
              <w:spacing w:before="0" w:beforeAutospacing="0" w:after="0" w:afterAutospacing="0"/>
              <w:rPr>
                <w:rFonts w:ascii="Arial" w:eastAsia="Calibri" w:hAnsi="Arial" w:cs="Arial"/>
                <w:sz w:val="16"/>
                <w:szCs w:val="16"/>
                <w:lang w:val="en-AU"/>
              </w:rPr>
            </w:pPr>
            <w:r w:rsidRPr="00B56F37">
              <w:rPr>
                <w:rFonts w:ascii="Arial" w:hAnsi="Arial" w:cs="Arial"/>
                <w:sz w:val="16"/>
                <w:szCs w:val="16"/>
              </w:rPr>
              <w:t>ANREU</w:t>
            </w:r>
          </w:p>
        </w:tc>
        <w:tc>
          <w:tcPr>
            <w:tcW w:w="7894" w:type="dxa"/>
            <w:vAlign w:val="center"/>
          </w:tcPr>
          <w:p w14:paraId="179F1879" w14:textId="177D917E" w:rsidR="00F17D1D" w:rsidRPr="00B56F37" w:rsidRDefault="00F17D1D"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 xml:space="preserve">Australian </w:t>
            </w:r>
            <w:r w:rsidR="003376C4">
              <w:rPr>
                <w:rFonts w:ascii="Arial" w:hAnsi="Arial" w:cs="Arial"/>
                <w:sz w:val="16"/>
                <w:szCs w:val="16"/>
              </w:rPr>
              <w:t>N</w:t>
            </w:r>
            <w:r w:rsidRPr="00B56F37">
              <w:rPr>
                <w:rFonts w:ascii="Arial" w:hAnsi="Arial" w:cs="Arial"/>
                <w:sz w:val="16"/>
                <w:szCs w:val="16"/>
              </w:rPr>
              <w:t xml:space="preserve">ational </w:t>
            </w:r>
            <w:r w:rsidR="003376C4">
              <w:rPr>
                <w:rFonts w:ascii="Arial" w:hAnsi="Arial" w:cs="Arial"/>
                <w:sz w:val="16"/>
                <w:szCs w:val="16"/>
              </w:rPr>
              <w:t>R</w:t>
            </w:r>
            <w:r w:rsidRPr="00B56F37">
              <w:rPr>
                <w:rFonts w:ascii="Arial" w:hAnsi="Arial" w:cs="Arial"/>
                <w:sz w:val="16"/>
                <w:szCs w:val="16"/>
              </w:rPr>
              <w:t xml:space="preserve">egistry of </w:t>
            </w:r>
            <w:r w:rsidR="003376C4">
              <w:rPr>
                <w:rFonts w:ascii="Arial" w:hAnsi="Arial" w:cs="Arial"/>
                <w:sz w:val="16"/>
                <w:szCs w:val="16"/>
              </w:rPr>
              <w:t>E</w:t>
            </w:r>
            <w:r w:rsidRPr="00B56F37">
              <w:rPr>
                <w:rFonts w:ascii="Arial" w:hAnsi="Arial" w:cs="Arial"/>
                <w:sz w:val="16"/>
                <w:szCs w:val="16"/>
              </w:rPr>
              <w:t xml:space="preserve">missions </w:t>
            </w:r>
            <w:r w:rsidR="003376C4">
              <w:rPr>
                <w:rFonts w:ascii="Arial" w:hAnsi="Arial" w:cs="Arial"/>
                <w:sz w:val="16"/>
                <w:szCs w:val="16"/>
              </w:rPr>
              <w:t>U</w:t>
            </w:r>
            <w:r w:rsidRPr="00B56F37">
              <w:rPr>
                <w:rFonts w:ascii="Arial" w:hAnsi="Arial" w:cs="Arial"/>
                <w:sz w:val="16"/>
                <w:szCs w:val="16"/>
              </w:rPr>
              <w:t>nits</w:t>
            </w:r>
          </w:p>
        </w:tc>
      </w:tr>
      <w:tr w:rsidR="00293140" w:rsidRPr="00B56F37" w14:paraId="41633536" w14:textId="77777777" w:rsidTr="00B56F37">
        <w:trPr>
          <w:trHeight w:val="272"/>
        </w:trPr>
        <w:tc>
          <w:tcPr>
            <w:tcW w:w="1276" w:type="dxa"/>
            <w:vAlign w:val="center"/>
            <w:hideMark/>
          </w:tcPr>
          <w:p w14:paraId="02592AC5"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eastAsia="Calibri" w:hAnsi="Arial" w:cs="Arial"/>
                <w:sz w:val="16"/>
                <w:szCs w:val="16"/>
                <w:lang w:val="en-AU"/>
              </w:rPr>
              <w:t>Authority</w:t>
            </w:r>
          </w:p>
        </w:tc>
        <w:tc>
          <w:tcPr>
            <w:tcW w:w="7894" w:type="dxa"/>
            <w:vAlign w:val="center"/>
            <w:hideMark/>
          </w:tcPr>
          <w:p w14:paraId="31CA8529"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Climate Change Authority</w:t>
            </w:r>
          </w:p>
        </w:tc>
      </w:tr>
      <w:tr w:rsidR="00293140" w:rsidRPr="00B56F37" w14:paraId="6A46BEED" w14:textId="77777777" w:rsidTr="00B56F37">
        <w:trPr>
          <w:trHeight w:val="272"/>
        </w:trPr>
        <w:tc>
          <w:tcPr>
            <w:tcW w:w="1276" w:type="dxa"/>
            <w:vAlign w:val="center"/>
          </w:tcPr>
          <w:p w14:paraId="15FD35C2"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BOSMA</w:t>
            </w:r>
          </w:p>
        </w:tc>
        <w:tc>
          <w:tcPr>
            <w:tcW w:w="7894" w:type="dxa"/>
            <w:vAlign w:val="center"/>
          </w:tcPr>
          <w:p w14:paraId="2E03FE7D"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Bureau of Steel Manufacturers of Australia</w:t>
            </w:r>
          </w:p>
        </w:tc>
      </w:tr>
      <w:tr w:rsidR="00F17D1D" w:rsidRPr="00B56F37" w14:paraId="620498E6" w14:textId="77777777" w:rsidTr="00B56F37">
        <w:trPr>
          <w:trHeight w:val="272"/>
        </w:trPr>
        <w:tc>
          <w:tcPr>
            <w:tcW w:w="1276" w:type="dxa"/>
            <w:vAlign w:val="center"/>
          </w:tcPr>
          <w:p w14:paraId="541F47C5" w14:textId="0B30EF04" w:rsidR="00F17D1D" w:rsidRPr="00B56F37" w:rsidRDefault="00F17D1D"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CCA</w:t>
            </w:r>
          </w:p>
        </w:tc>
        <w:tc>
          <w:tcPr>
            <w:tcW w:w="7894" w:type="dxa"/>
            <w:vAlign w:val="center"/>
          </w:tcPr>
          <w:p w14:paraId="4F1133FF" w14:textId="6A207DFB" w:rsidR="00F17D1D" w:rsidRPr="00B56F37" w:rsidRDefault="00F17D1D"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Climate Change Authority</w:t>
            </w:r>
          </w:p>
        </w:tc>
      </w:tr>
      <w:tr w:rsidR="00293140" w:rsidRPr="00B56F37" w14:paraId="4A7EB71C" w14:textId="77777777" w:rsidTr="00B56F37">
        <w:trPr>
          <w:trHeight w:val="272"/>
        </w:trPr>
        <w:tc>
          <w:tcPr>
            <w:tcW w:w="1276" w:type="dxa"/>
            <w:vAlign w:val="center"/>
            <w:hideMark/>
          </w:tcPr>
          <w:p w14:paraId="24E60C78"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CER</w:t>
            </w:r>
          </w:p>
        </w:tc>
        <w:tc>
          <w:tcPr>
            <w:tcW w:w="7894" w:type="dxa"/>
            <w:vAlign w:val="center"/>
            <w:hideMark/>
          </w:tcPr>
          <w:p w14:paraId="2879249F"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Clean Energy Regulator</w:t>
            </w:r>
          </w:p>
        </w:tc>
      </w:tr>
      <w:tr w:rsidR="00293140" w:rsidRPr="00B56F37" w14:paraId="4E19774C" w14:textId="77777777" w:rsidTr="00B56F37">
        <w:trPr>
          <w:trHeight w:val="272"/>
        </w:trPr>
        <w:tc>
          <w:tcPr>
            <w:tcW w:w="1276" w:type="dxa"/>
            <w:vAlign w:val="center"/>
            <w:hideMark/>
          </w:tcPr>
          <w:p w14:paraId="7A4394B8"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CFI</w:t>
            </w:r>
          </w:p>
        </w:tc>
        <w:tc>
          <w:tcPr>
            <w:tcW w:w="7894" w:type="dxa"/>
            <w:vAlign w:val="center"/>
            <w:hideMark/>
          </w:tcPr>
          <w:p w14:paraId="0DAD5819"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Carbon Farming Initiative</w:t>
            </w:r>
          </w:p>
        </w:tc>
      </w:tr>
      <w:tr w:rsidR="00AE26F3" w:rsidRPr="00B56F37" w14:paraId="57CA7696" w14:textId="77777777" w:rsidTr="00B56F37">
        <w:trPr>
          <w:trHeight w:val="272"/>
        </w:trPr>
        <w:tc>
          <w:tcPr>
            <w:tcW w:w="1276" w:type="dxa"/>
            <w:vAlign w:val="center"/>
          </w:tcPr>
          <w:p w14:paraId="3963DFAB" w14:textId="19393B5F"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CMAs</w:t>
            </w:r>
          </w:p>
        </w:tc>
        <w:tc>
          <w:tcPr>
            <w:tcW w:w="7894" w:type="dxa"/>
            <w:vAlign w:val="center"/>
          </w:tcPr>
          <w:p w14:paraId="47886D00" w14:textId="7A9AA1AC"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Catchment Management Authorities</w:t>
            </w:r>
          </w:p>
        </w:tc>
      </w:tr>
      <w:tr w:rsidR="00AE26F3" w:rsidRPr="00B56F37" w14:paraId="0A744B4B" w14:textId="77777777" w:rsidTr="00B56F37">
        <w:trPr>
          <w:trHeight w:val="272"/>
        </w:trPr>
        <w:tc>
          <w:tcPr>
            <w:tcW w:w="1276" w:type="dxa"/>
            <w:vAlign w:val="center"/>
          </w:tcPr>
          <w:p w14:paraId="18238002" w14:textId="39C46CBD"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CMI</w:t>
            </w:r>
          </w:p>
        </w:tc>
        <w:tc>
          <w:tcPr>
            <w:tcW w:w="7894" w:type="dxa"/>
            <w:vAlign w:val="center"/>
          </w:tcPr>
          <w:p w14:paraId="24F29CC1" w14:textId="3F8C6880"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Carbon Market Institute</w:t>
            </w:r>
          </w:p>
        </w:tc>
      </w:tr>
      <w:tr w:rsidR="00DF0212" w:rsidRPr="00B56F37" w14:paraId="401FC2F2" w14:textId="77777777" w:rsidTr="00B56F37">
        <w:trPr>
          <w:trHeight w:val="272"/>
        </w:trPr>
        <w:tc>
          <w:tcPr>
            <w:tcW w:w="1276" w:type="dxa"/>
            <w:vAlign w:val="center"/>
          </w:tcPr>
          <w:p w14:paraId="039C7D3A" w14:textId="0DFC4561" w:rsidR="00DF0212" w:rsidRPr="00B56F37" w:rsidRDefault="00DF0212"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CMO</w:t>
            </w:r>
          </w:p>
        </w:tc>
        <w:tc>
          <w:tcPr>
            <w:tcW w:w="7894" w:type="dxa"/>
            <w:vAlign w:val="center"/>
          </w:tcPr>
          <w:p w14:paraId="257CCF0C" w14:textId="7E6A93B7" w:rsidR="00DF0212" w:rsidRPr="00B56F37" w:rsidRDefault="00DF0212"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 xml:space="preserve">Carbon </w:t>
            </w:r>
            <w:r w:rsidR="00313132" w:rsidRPr="00B56F37">
              <w:rPr>
                <w:rFonts w:ascii="Arial" w:hAnsi="Arial" w:cs="Arial"/>
                <w:sz w:val="16"/>
                <w:szCs w:val="16"/>
              </w:rPr>
              <w:t>maintenance obligation</w:t>
            </w:r>
          </w:p>
        </w:tc>
      </w:tr>
      <w:tr w:rsidR="00293140" w:rsidRPr="00B56F37" w14:paraId="5B84EE1E" w14:textId="77777777" w:rsidTr="00B56F37">
        <w:trPr>
          <w:trHeight w:val="272"/>
        </w:trPr>
        <w:tc>
          <w:tcPr>
            <w:tcW w:w="1276" w:type="dxa"/>
            <w:vAlign w:val="center"/>
          </w:tcPr>
          <w:p w14:paraId="0522DB54"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CORSIA</w:t>
            </w:r>
          </w:p>
        </w:tc>
        <w:tc>
          <w:tcPr>
            <w:tcW w:w="7894" w:type="dxa"/>
            <w:vAlign w:val="center"/>
          </w:tcPr>
          <w:p w14:paraId="2544CD4E"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Carbon Offsetting and Reduction Scheme for International Aviation</w:t>
            </w:r>
          </w:p>
        </w:tc>
      </w:tr>
      <w:tr w:rsidR="00293140" w:rsidRPr="00B56F37" w14:paraId="25946A81" w14:textId="77777777" w:rsidTr="00B56F37">
        <w:trPr>
          <w:trHeight w:val="272"/>
        </w:trPr>
        <w:tc>
          <w:tcPr>
            <w:tcW w:w="1276" w:type="dxa"/>
            <w:vAlign w:val="center"/>
          </w:tcPr>
          <w:p w14:paraId="15AFEB5D"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CSP</w:t>
            </w:r>
          </w:p>
        </w:tc>
        <w:tc>
          <w:tcPr>
            <w:tcW w:w="7894" w:type="dxa"/>
            <w:vAlign w:val="center"/>
          </w:tcPr>
          <w:p w14:paraId="18E508EF" w14:textId="14CDE103"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 xml:space="preserve">Carbon </w:t>
            </w:r>
            <w:r w:rsidR="00313132" w:rsidRPr="00B56F37">
              <w:rPr>
                <w:rFonts w:ascii="Arial" w:hAnsi="Arial" w:cs="Arial"/>
                <w:sz w:val="16"/>
                <w:szCs w:val="16"/>
              </w:rPr>
              <w:t>service provider</w:t>
            </w:r>
          </w:p>
        </w:tc>
      </w:tr>
      <w:tr w:rsidR="00293140" w:rsidRPr="00B56F37" w14:paraId="5158C2DD" w14:textId="77777777" w:rsidTr="00B56F37">
        <w:trPr>
          <w:trHeight w:val="272"/>
        </w:trPr>
        <w:tc>
          <w:tcPr>
            <w:tcW w:w="1276" w:type="dxa"/>
            <w:vAlign w:val="center"/>
            <w:hideMark/>
          </w:tcPr>
          <w:p w14:paraId="2E909C92" w14:textId="49FFFA08"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D</w:t>
            </w:r>
            <w:r w:rsidR="00F92B7D" w:rsidRPr="00B56F37">
              <w:rPr>
                <w:rFonts w:ascii="Arial" w:hAnsi="Arial" w:cs="Arial"/>
                <w:sz w:val="16"/>
                <w:szCs w:val="16"/>
              </w:rPr>
              <w:t>epartment</w:t>
            </w:r>
          </w:p>
        </w:tc>
        <w:tc>
          <w:tcPr>
            <w:tcW w:w="7894" w:type="dxa"/>
            <w:vAlign w:val="center"/>
            <w:hideMark/>
          </w:tcPr>
          <w:p w14:paraId="7CD34DB3"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Department of the Environment and Energy</w:t>
            </w:r>
          </w:p>
        </w:tc>
      </w:tr>
      <w:tr w:rsidR="00293140" w:rsidRPr="00B56F37" w14:paraId="48070667" w14:textId="77777777" w:rsidTr="00B56F37">
        <w:trPr>
          <w:trHeight w:val="272"/>
        </w:trPr>
        <w:tc>
          <w:tcPr>
            <w:tcW w:w="1276" w:type="dxa"/>
            <w:vAlign w:val="center"/>
          </w:tcPr>
          <w:p w14:paraId="3AEE3F39"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EIH</w:t>
            </w:r>
          </w:p>
        </w:tc>
        <w:tc>
          <w:tcPr>
            <w:tcW w:w="7894" w:type="dxa"/>
            <w:vAlign w:val="center"/>
          </w:tcPr>
          <w:p w14:paraId="60FC3EED" w14:textId="192182E4"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 xml:space="preserve">Eligible </w:t>
            </w:r>
            <w:r w:rsidR="00313132" w:rsidRPr="00B56F37">
              <w:rPr>
                <w:rFonts w:ascii="Arial" w:hAnsi="Arial" w:cs="Arial"/>
                <w:sz w:val="16"/>
                <w:szCs w:val="16"/>
              </w:rPr>
              <w:t>interest h</w:t>
            </w:r>
            <w:r w:rsidRPr="00B56F37">
              <w:rPr>
                <w:rFonts w:ascii="Arial" w:hAnsi="Arial" w:cs="Arial"/>
                <w:sz w:val="16"/>
                <w:szCs w:val="16"/>
              </w:rPr>
              <w:t>older</w:t>
            </w:r>
          </w:p>
        </w:tc>
      </w:tr>
      <w:tr w:rsidR="00293140" w:rsidRPr="00B56F37" w14:paraId="2C534C90" w14:textId="77777777" w:rsidTr="00B56F37">
        <w:trPr>
          <w:trHeight w:val="272"/>
        </w:trPr>
        <w:tc>
          <w:tcPr>
            <w:tcW w:w="1276" w:type="dxa"/>
            <w:vAlign w:val="center"/>
          </w:tcPr>
          <w:p w14:paraId="508D845E"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ERAC</w:t>
            </w:r>
          </w:p>
        </w:tc>
        <w:tc>
          <w:tcPr>
            <w:tcW w:w="7894" w:type="dxa"/>
            <w:vAlign w:val="center"/>
          </w:tcPr>
          <w:p w14:paraId="601BFA04"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Emissions Reduction Assurance Committee</w:t>
            </w:r>
          </w:p>
        </w:tc>
      </w:tr>
      <w:tr w:rsidR="00293140" w:rsidRPr="00B56F37" w14:paraId="22AB91BC" w14:textId="77777777" w:rsidTr="00B56F37">
        <w:trPr>
          <w:trHeight w:val="272"/>
        </w:trPr>
        <w:tc>
          <w:tcPr>
            <w:tcW w:w="1276" w:type="dxa"/>
            <w:vAlign w:val="center"/>
            <w:hideMark/>
          </w:tcPr>
          <w:p w14:paraId="12ACF360"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ERF</w:t>
            </w:r>
          </w:p>
        </w:tc>
        <w:tc>
          <w:tcPr>
            <w:tcW w:w="7894" w:type="dxa"/>
            <w:vAlign w:val="center"/>
            <w:hideMark/>
          </w:tcPr>
          <w:p w14:paraId="10017328"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Emissions Reduction Fund</w:t>
            </w:r>
          </w:p>
        </w:tc>
      </w:tr>
      <w:tr w:rsidR="00293140" w:rsidRPr="00B56F37" w14:paraId="0F158B8E" w14:textId="77777777" w:rsidTr="00B56F37">
        <w:trPr>
          <w:trHeight w:val="272"/>
        </w:trPr>
        <w:tc>
          <w:tcPr>
            <w:tcW w:w="1276" w:type="dxa"/>
            <w:vAlign w:val="center"/>
          </w:tcPr>
          <w:p w14:paraId="2B02A8B9"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FCA</w:t>
            </w:r>
          </w:p>
        </w:tc>
        <w:tc>
          <w:tcPr>
            <w:tcW w:w="7894" w:type="dxa"/>
            <w:vAlign w:val="center"/>
          </w:tcPr>
          <w:p w14:paraId="200F895E" w14:textId="77777777" w:rsidR="00293140" w:rsidRPr="00B56F37" w:rsidRDefault="00293140" w:rsidP="00B56F37">
            <w:pPr>
              <w:pStyle w:val="ccatabletext0"/>
              <w:spacing w:before="0" w:beforeAutospacing="0" w:after="0" w:afterAutospacing="0"/>
              <w:rPr>
                <w:rStyle w:val="Emphasis"/>
                <w:rFonts w:ascii="Arial" w:hAnsi="Arial" w:cs="Arial"/>
                <w:i w:val="0"/>
                <w:sz w:val="16"/>
                <w:szCs w:val="16"/>
              </w:rPr>
            </w:pPr>
            <w:r w:rsidRPr="00B56F37">
              <w:rPr>
                <w:rStyle w:val="Emphasis"/>
                <w:rFonts w:ascii="Arial" w:hAnsi="Arial" w:cs="Arial"/>
                <w:i w:val="0"/>
                <w:sz w:val="16"/>
                <w:szCs w:val="16"/>
              </w:rPr>
              <w:t>Farmers for Climate Action</w:t>
            </w:r>
          </w:p>
        </w:tc>
      </w:tr>
      <w:tr w:rsidR="00293140" w:rsidRPr="00B56F37" w14:paraId="79E6794C" w14:textId="77777777" w:rsidTr="00B56F37">
        <w:trPr>
          <w:trHeight w:val="272"/>
        </w:trPr>
        <w:tc>
          <w:tcPr>
            <w:tcW w:w="1276" w:type="dxa"/>
            <w:vAlign w:val="center"/>
          </w:tcPr>
          <w:p w14:paraId="318DA145"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FPP</w:t>
            </w:r>
          </w:p>
        </w:tc>
        <w:tc>
          <w:tcPr>
            <w:tcW w:w="7894" w:type="dxa"/>
            <w:vAlign w:val="center"/>
          </w:tcPr>
          <w:p w14:paraId="2170A7EA" w14:textId="77777777" w:rsidR="00293140" w:rsidRPr="00B56F37" w:rsidRDefault="00293140" w:rsidP="00B56F37">
            <w:pPr>
              <w:pStyle w:val="ccatabletext0"/>
              <w:spacing w:before="0" w:beforeAutospacing="0" w:after="0" w:afterAutospacing="0"/>
              <w:rPr>
                <w:rStyle w:val="Emphasis"/>
                <w:rFonts w:ascii="Arial" w:hAnsi="Arial" w:cs="Arial"/>
                <w:i w:val="0"/>
                <w:sz w:val="16"/>
                <w:szCs w:val="16"/>
              </w:rPr>
            </w:pPr>
            <w:r w:rsidRPr="00B56F37">
              <w:rPr>
                <w:rStyle w:val="Emphasis"/>
                <w:rFonts w:ascii="Arial" w:hAnsi="Arial" w:cs="Arial"/>
                <w:i w:val="0"/>
                <w:sz w:val="16"/>
                <w:szCs w:val="16"/>
              </w:rPr>
              <w:t>Fit and Proper Person</w:t>
            </w:r>
          </w:p>
        </w:tc>
      </w:tr>
      <w:tr w:rsidR="00293140" w:rsidRPr="00B56F37" w14:paraId="220A3375" w14:textId="77777777" w:rsidTr="00B56F37">
        <w:trPr>
          <w:trHeight w:val="272"/>
        </w:trPr>
        <w:tc>
          <w:tcPr>
            <w:tcW w:w="1276" w:type="dxa"/>
            <w:vAlign w:val="center"/>
          </w:tcPr>
          <w:p w14:paraId="19C848C8" w14:textId="77777777" w:rsidR="00293140" w:rsidRPr="00B56F37" w:rsidRDefault="00293140"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FullCAM</w:t>
            </w:r>
          </w:p>
        </w:tc>
        <w:tc>
          <w:tcPr>
            <w:tcW w:w="7894" w:type="dxa"/>
            <w:vAlign w:val="center"/>
          </w:tcPr>
          <w:p w14:paraId="339CD0FC" w14:textId="77777777" w:rsidR="00293140" w:rsidRPr="00B56F37" w:rsidRDefault="00293140" w:rsidP="00B56F37">
            <w:pPr>
              <w:pStyle w:val="ccatabletext0"/>
              <w:spacing w:before="0" w:beforeAutospacing="0" w:after="0" w:afterAutospacing="0"/>
              <w:rPr>
                <w:rStyle w:val="Emphasis"/>
                <w:rFonts w:ascii="Arial" w:hAnsi="Arial" w:cs="Arial"/>
                <w:i w:val="0"/>
                <w:sz w:val="16"/>
                <w:szCs w:val="16"/>
              </w:rPr>
            </w:pPr>
            <w:r w:rsidRPr="00B56F37">
              <w:rPr>
                <w:rStyle w:val="Emphasis"/>
                <w:rFonts w:ascii="Arial" w:hAnsi="Arial" w:cs="Arial"/>
                <w:i w:val="0"/>
                <w:sz w:val="16"/>
                <w:szCs w:val="16"/>
              </w:rPr>
              <w:t>Full Carbon Accounting Model</w:t>
            </w:r>
          </w:p>
        </w:tc>
      </w:tr>
      <w:tr w:rsidR="00AE26F3" w:rsidRPr="00B56F37" w14:paraId="68C79CE1" w14:textId="77777777" w:rsidTr="00B56F37">
        <w:trPr>
          <w:trHeight w:val="272"/>
        </w:trPr>
        <w:tc>
          <w:tcPr>
            <w:tcW w:w="1276" w:type="dxa"/>
            <w:vAlign w:val="center"/>
          </w:tcPr>
          <w:p w14:paraId="2EF526C3" w14:textId="690C2D26"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Guarantee</w:t>
            </w:r>
          </w:p>
        </w:tc>
        <w:tc>
          <w:tcPr>
            <w:tcW w:w="7894" w:type="dxa"/>
            <w:vAlign w:val="center"/>
          </w:tcPr>
          <w:p w14:paraId="0DDCC03D" w14:textId="0FA5DC96" w:rsidR="00AE26F3" w:rsidRPr="00B56F37" w:rsidRDefault="00AE26F3" w:rsidP="00B56F37">
            <w:pPr>
              <w:pStyle w:val="ccatabletext0"/>
              <w:spacing w:before="0" w:beforeAutospacing="0" w:after="0" w:afterAutospacing="0"/>
              <w:rPr>
                <w:rStyle w:val="Emphasis"/>
                <w:rFonts w:ascii="Arial" w:hAnsi="Arial" w:cs="Arial"/>
                <w:sz w:val="16"/>
                <w:szCs w:val="16"/>
              </w:rPr>
            </w:pPr>
            <w:r w:rsidRPr="00B56F37">
              <w:rPr>
                <w:rFonts w:ascii="Arial" w:hAnsi="Arial" w:cs="Arial"/>
                <w:sz w:val="16"/>
                <w:szCs w:val="16"/>
              </w:rPr>
              <w:t>National Energy Guarantee</w:t>
            </w:r>
          </w:p>
        </w:tc>
      </w:tr>
      <w:tr w:rsidR="00AE26F3" w:rsidRPr="00B56F37" w14:paraId="2F3F78D6" w14:textId="77777777" w:rsidTr="00B56F37">
        <w:trPr>
          <w:trHeight w:val="272"/>
        </w:trPr>
        <w:tc>
          <w:tcPr>
            <w:tcW w:w="1276" w:type="dxa"/>
            <w:vAlign w:val="center"/>
          </w:tcPr>
          <w:p w14:paraId="227ED90A"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ICAO</w:t>
            </w:r>
          </w:p>
        </w:tc>
        <w:tc>
          <w:tcPr>
            <w:tcW w:w="7894" w:type="dxa"/>
            <w:vAlign w:val="center"/>
          </w:tcPr>
          <w:p w14:paraId="7759131F"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The International Civil Aviation Organisation</w:t>
            </w:r>
          </w:p>
        </w:tc>
      </w:tr>
      <w:tr w:rsidR="00AE26F3" w:rsidRPr="00B56F37" w14:paraId="506946B1" w14:textId="77777777" w:rsidTr="00B56F37">
        <w:trPr>
          <w:trHeight w:val="272"/>
        </w:trPr>
        <w:tc>
          <w:tcPr>
            <w:tcW w:w="1276" w:type="dxa"/>
            <w:vAlign w:val="center"/>
          </w:tcPr>
          <w:p w14:paraId="310B64DD"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ICROA</w:t>
            </w:r>
          </w:p>
        </w:tc>
        <w:tc>
          <w:tcPr>
            <w:tcW w:w="7894" w:type="dxa"/>
            <w:vAlign w:val="center"/>
          </w:tcPr>
          <w:p w14:paraId="1D2931D4"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International Carbon Reduction &amp; Offset Alliance</w:t>
            </w:r>
          </w:p>
        </w:tc>
      </w:tr>
      <w:tr w:rsidR="00AE26F3" w:rsidRPr="00B56F37" w14:paraId="0A250A62" w14:textId="77777777" w:rsidTr="00B56F37">
        <w:trPr>
          <w:trHeight w:val="272"/>
        </w:trPr>
        <w:tc>
          <w:tcPr>
            <w:tcW w:w="1276" w:type="dxa"/>
            <w:vAlign w:val="center"/>
          </w:tcPr>
          <w:p w14:paraId="71C9C260"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IPCC</w:t>
            </w:r>
          </w:p>
        </w:tc>
        <w:tc>
          <w:tcPr>
            <w:tcW w:w="7894" w:type="dxa"/>
            <w:vAlign w:val="center"/>
          </w:tcPr>
          <w:p w14:paraId="6432C10D"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Intergovernmental Panel on Climate Change</w:t>
            </w:r>
          </w:p>
        </w:tc>
      </w:tr>
      <w:tr w:rsidR="00AE26F3" w:rsidRPr="00B56F37" w14:paraId="54839AF6" w14:textId="77777777" w:rsidTr="00B56F37">
        <w:trPr>
          <w:trHeight w:val="272"/>
        </w:trPr>
        <w:tc>
          <w:tcPr>
            <w:tcW w:w="1276" w:type="dxa"/>
            <w:vAlign w:val="center"/>
          </w:tcPr>
          <w:p w14:paraId="13A068E2"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KLC</w:t>
            </w:r>
          </w:p>
        </w:tc>
        <w:tc>
          <w:tcPr>
            <w:tcW w:w="7894" w:type="dxa"/>
            <w:vAlign w:val="center"/>
          </w:tcPr>
          <w:p w14:paraId="0BE46857"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Kimberley Land Council</w:t>
            </w:r>
          </w:p>
        </w:tc>
      </w:tr>
      <w:tr w:rsidR="00AE26F3" w:rsidRPr="00B56F37" w14:paraId="2C11B838" w14:textId="77777777" w:rsidTr="00B56F37">
        <w:trPr>
          <w:trHeight w:val="272"/>
        </w:trPr>
        <w:tc>
          <w:tcPr>
            <w:tcW w:w="1276" w:type="dxa"/>
            <w:vAlign w:val="center"/>
          </w:tcPr>
          <w:p w14:paraId="57DCA289"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LGC</w:t>
            </w:r>
          </w:p>
        </w:tc>
        <w:tc>
          <w:tcPr>
            <w:tcW w:w="7894" w:type="dxa"/>
            <w:vAlign w:val="center"/>
          </w:tcPr>
          <w:p w14:paraId="46545370"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Large-scale generation certificate</w:t>
            </w:r>
          </w:p>
        </w:tc>
      </w:tr>
      <w:tr w:rsidR="00AE26F3" w:rsidRPr="00B56F37" w14:paraId="1F4F5BC7" w14:textId="77777777" w:rsidTr="00B56F37">
        <w:trPr>
          <w:trHeight w:val="272"/>
        </w:trPr>
        <w:tc>
          <w:tcPr>
            <w:tcW w:w="1276" w:type="dxa"/>
            <w:vAlign w:val="center"/>
          </w:tcPr>
          <w:p w14:paraId="2EF85D07" w14:textId="1168204F"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Minister</w:t>
            </w:r>
          </w:p>
        </w:tc>
        <w:tc>
          <w:tcPr>
            <w:tcW w:w="7894" w:type="dxa"/>
            <w:vAlign w:val="center"/>
          </w:tcPr>
          <w:p w14:paraId="0915AB0A" w14:textId="00A73FDD"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Minister for the Environment and Energy</w:t>
            </w:r>
          </w:p>
        </w:tc>
      </w:tr>
      <w:tr w:rsidR="00AE26F3" w:rsidRPr="00B56F37" w14:paraId="4E0DA139" w14:textId="77777777" w:rsidTr="00B56F37">
        <w:trPr>
          <w:trHeight w:val="272"/>
        </w:trPr>
        <w:tc>
          <w:tcPr>
            <w:tcW w:w="1276" w:type="dxa"/>
            <w:vAlign w:val="center"/>
          </w:tcPr>
          <w:p w14:paraId="1C0CC7CB"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NFF</w:t>
            </w:r>
          </w:p>
        </w:tc>
        <w:tc>
          <w:tcPr>
            <w:tcW w:w="7894" w:type="dxa"/>
            <w:vAlign w:val="center"/>
          </w:tcPr>
          <w:p w14:paraId="31596893"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National Farmers’ Federation</w:t>
            </w:r>
          </w:p>
        </w:tc>
      </w:tr>
      <w:tr w:rsidR="00AE26F3" w:rsidRPr="00B56F37" w14:paraId="0DDE7445" w14:textId="77777777" w:rsidTr="00B56F37">
        <w:trPr>
          <w:trHeight w:val="272"/>
        </w:trPr>
        <w:tc>
          <w:tcPr>
            <w:tcW w:w="1276" w:type="dxa"/>
            <w:vAlign w:val="center"/>
            <w:hideMark/>
          </w:tcPr>
          <w:p w14:paraId="7BEEEF08"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NGER</w:t>
            </w:r>
          </w:p>
        </w:tc>
        <w:tc>
          <w:tcPr>
            <w:tcW w:w="7894" w:type="dxa"/>
            <w:vAlign w:val="center"/>
            <w:hideMark/>
          </w:tcPr>
          <w:p w14:paraId="1854F241"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National Greenhouse and Energy Reporting system</w:t>
            </w:r>
          </w:p>
        </w:tc>
      </w:tr>
      <w:tr w:rsidR="00AE26F3" w:rsidRPr="00B56F37" w14:paraId="5D232B30" w14:textId="77777777" w:rsidTr="00B56F37">
        <w:trPr>
          <w:trHeight w:val="272"/>
        </w:trPr>
        <w:tc>
          <w:tcPr>
            <w:tcW w:w="1276" w:type="dxa"/>
            <w:vAlign w:val="center"/>
          </w:tcPr>
          <w:p w14:paraId="5E72E256" w14:textId="77AF0CAB"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NRM</w:t>
            </w:r>
          </w:p>
        </w:tc>
        <w:tc>
          <w:tcPr>
            <w:tcW w:w="7894" w:type="dxa"/>
            <w:vAlign w:val="center"/>
          </w:tcPr>
          <w:p w14:paraId="7861DB33" w14:textId="0DA7C14B"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Natural Resource Management</w:t>
            </w:r>
          </w:p>
        </w:tc>
      </w:tr>
      <w:tr w:rsidR="00AE26F3" w:rsidRPr="00B56F37" w14:paraId="62BBD163" w14:textId="77777777" w:rsidTr="00B56F37">
        <w:trPr>
          <w:trHeight w:val="272"/>
        </w:trPr>
        <w:tc>
          <w:tcPr>
            <w:tcW w:w="1276" w:type="dxa"/>
            <w:vAlign w:val="center"/>
          </w:tcPr>
          <w:p w14:paraId="32FD9975"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NWI</w:t>
            </w:r>
          </w:p>
        </w:tc>
        <w:tc>
          <w:tcPr>
            <w:tcW w:w="7894" w:type="dxa"/>
            <w:vAlign w:val="center"/>
          </w:tcPr>
          <w:p w14:paraId="45F4FDDD"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National Water Initiative</w:t>
            </w:r>
          </w:p>
        </w:tc>
      </w:tr>
      <w:tr w:rsidR="00AE26F3" w:rsidRPr="00B56F37" w14:paraId="307D3C6C" w14:textId="77777777" w:rsidTr="00B56F37">
        <w:trPr>
          <w:trHeight w:val="272"/>
        </w:trPr>
        <w:tc>
          <w:tcPr>
            <w:tcW w:w="1276" w:type="dxa"/>
            <w:vAlign w:val="center"/>
          </w:tcPr>
          <w:p w14:paraId="78D70AFF" w14:textId="7CF6E6D0"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R&amp;D</w:t>
            </w:r>
          </w:p>
        </w:tc>
        <w:tc>
          <w:tcPr>
            <w:tcW w:w="7894" w:type="dxa"/>
            <w:vAlign w:val="center"/>
          </w:tcPr>
          <w:p w14:paraId="6CCDDBFC" w14:textId="2701B9B1"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Research and development</w:t>
            </w:r>
          </w:p>
        </w:tc>
      </w:tr>
      <w:tr w:rsidR="00AE26F3" w:rsidRPr="00B56F37" w14:paraId="67B6C2C7" w14:textId="77777777" w:rsidTr="00B56F37">
        <w:trPr>
          <w:trHeight w:val="272"/>
        </w:trPr>
        <w:tc>
          <w:tcPr>
            <w:tcW w:w="1276" w:type="dxa"/>
            <w:tcBorders>
              <w:bottom w:val="dotted" w:sz="4" w:space="0" w:color="auto"/>
            </w:tcBorders>
            <w:vAlign w:val="center"/>
          </w:tcPr>
          <w:p w14:paraId="06D7B7C5"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TWS</w:t>
            </w:r>
          </w:p>
        </w:tc>
        <w:tc>
          <w:tcPr>
            <w:tcW w:w="7894" w:type="dxa"/>
            <w:tcBorders>
              <w:bottom w:val="dotted" w:sz="4" w:space="0" w:color="auto"/>
            </w:tcBorders>
            <w:vAlign w:val="center"/>
          </w:tcPr>
          <w:p w14:paraId="1CB1AFEC"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The Wilderness Society</w:t>
            </w:r>
          </w:p>
        </w:tc>
      </w:tr>
      <w:tr w:rsidR="00AE26F3" w:rsidRPr="00B56F37" w14:paraId="2F2A7363" w14:textId="77777777" w:rsidTr="00B56F37">
        <w:trPr>
          <w:trHeight w:val="272"/>
        </w:trPr>
        <w:tc>
          <w:tcPr>
            <w:tcW w:w="1276" w:type="dxa"/>
            <w:tcBorders>
              <w:top w:val="dotted" w:sz="4" w:space="0" w:color="auto"/>
              <w:bottom w:val="dotted" w:sz="4" w:space="0" w:color="auto"/>
            </w:tcBorders>
            <w:vAlign w:val="center"/>
          </w:tcPr>
          <w:p w14:paraId="695B4886"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UNFCCC</w:t>
            </w:r>
          </w:p>
        </w:tc>
        <w:tc>
          <w:tcPr>
            <w:tcW w:w="7894" w:type="dxa"/>
            <w:tcBorders>
              <w:top w:val="dotted" w:sz="4" w:space="0" w:color="auto"/>
              <w:bottom w:val="dotted" w:sz="4" w:space="0" w:color="auto"/>
            </w:tcBorders>
            <w:vAlign w:val="center"/>
          </w:tcPr>
          <w:p w14:paraId="6DFA1CA9"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United Nations Framework Convention on Climate Change</w:t>
            </w:r>
          </w:p>
        </w:tc>
      </w:tr>
      <w:tr w:rsidR="00AE26F3" w:rsidRPr="00B56F37" w14:paraId="26EC7503" w14:textId="77777777" w:rsidTr="00B56F37">
        <w:trPr>
          <w:trHeight w:val="272"/>
        </w:trPr>
        <w:tc>
          <w:tcPr>
            <w:tcW w:w="1276" w:type="dxa"/>
            <w:tcBorders>
              <w:top w:val="dotted" w:sz="4" w:space="0" w:color="auto"/>
              <w:bottom w:val="dotted" w:sz="4" w:space="0" w:color="auto"/>
            </w:tcBorders>
            <w:vAlign w:val="center"/>
          </w:tcPr>
          <w:p w14:paraId="1A93E877"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WALGA</w:t>
            </w:r>
          </w:p>
        </w:tc>
        <w:tc>
          <w:tcPr>
            <w:tcW w:w="7894" w:type="dxa"/>
            <w:tcBorders>
              <w:top w:val="dotted" w:sz="4" w:space="0" w:color="auto"/>
              <w:bottom w:val="dotted" w:sz="4" w:space="0" w:color="auto"/>
            </w:tcBorders>
            <w:vAlign w:val="center"/>
          </w:tcPr>
          <w:p w14:paraId="3749D7E6" w14:textId="77777777" w:rsidR="00AE26F3" w:rsidRPr="00B56F37" w:rsidRDefault="00AE26F3" w:rsidP="00B56F37">
            <w:pPr>
              <w:pStyle w:val="ccatabletext0"/>
              <w:spacing w:before="0" w:beforeAutospacing="0" w:after="0" w:afterAutospacing="0"/>
              <w:rPr>
                <w:rFonts w:ascii="Arial" w:hAnsi="Arial" w:cs="Arial"/>
                <w:sz w:val="16"/>
                <w:szCs w:val="16"/>
              </w:rPr>
            </w:pPr>
            <w:r w:rsidRPr="00B56F37">
              <w:rPr>
                <w:rFonts w:ascii="Arial" w:hAnsi="Arial" w:cs="Arial"/>
                <w:sz w:val="16"/>
                <w:szCs w:val="16"/>
              </w:rPr>
              <w:t>Western Australian Local Government Association</w:t>
            </w:r>
          </w:p>
        </w:tc>
      </w:tr>
    </w:tbl>
    <w:p w14:paraId="5851C17D" w14:textId="77777777" w:rsidR="003D2677" w:rsidRPr="005206CA" w:rsidRDefault="00293140" w:rsidP="003D2677">
      <w:pPr>
        <w:rPr>
          <w:rFonts w:eastAsia="Times New Roman"/>
        </w:rPr>
      </w:pPr>
      <w:r w:rsidRPr="005206CA" w:rsidDel="00293140">
        <w:t xml:space="preserve"> </w:t>
      </w:r>
    </w:p>
    <w:p w14:paraId="5378CA9A" w14:textId="77777777" w:rsidR="006D0CD4" w:rsidRPr="005206CA" w:rsidRDefault="00D25BE9" w:rsidP="00D25BE9">
      <w:pPr>
        <w:pStyle w:val="Heading1nonumber"/>
      </w:pPr>
      <w:bookmarkStart w:id="1906" w:name="_Toc498691610"/>
      <w:bookmarkStart w:id="1907" w:name="_Toc499043792"/>
      <w:bookmarkStart w:id="1908" w:name="_Toc499051817"/>
      <w:bookmarkStart w:id="1909" w:name="_Toc500251169"/>
      <w:bookmarkStart w:id="1910" w:name="_Toc500251444"/>
      <w:bookmarkStart w:id="1911" w:name="_Toc500254041"/>
      <w:bookmarkStart w:id="1912" w:name="_Toc500401546"/>
      <w:bookmarkStart w:id="1913" w:name="_Toc500491034"/>
      <w:bookmarkStart w:id="1914" w:name="_Toc500512971"/>
      <w:bookmarkStart w:id="1915" w:name="_Toc500514231"/>
      <w:bookmarkStart w:id="1916" w:name="_Toc500516283"/>
      <w:r w:rsidRPr="005206CA">
        <w:t>References</w:t>
      </w:r>
      <w:bookmarkEnd w:id="1894"/>
      <w:bookmarkEnd w:id="1906"/>
      <w:bookmarkEnd w:id="1907"/>
      <w:bookmarkEnd w:id="1908"/>
      <w:bookmarkEnd w:id="1909"/>
      <w:bookmarkEnd w:id="1910"/>
      <w:bookmarkEnd w:id="1911"/>
      <w:bookmarkEnd w:id="1912"/>
      <w:bookmarkEnd w:id="1913"/>
      <w:bookmarkEnd w:id="1914"/>
      <w:bookmarkEnd w:id="1915"/>
      <w:bookmarkEnd w:id="1916"/>
    </w:p>
    <w:p w14:paraId="008CE88B" w14:textId="2F16B458" w:rsidR="00701FD9" w:rsidRDefault="00701FD9" w:rsidP="001C4743">
      <w:pPr>
        <w:rPr>
          <w:rFonts w:eastAsia="Times New Roman" w:cs="Arial"/>
          <w:b/>
          <w:bCs/>
          <w:color w:val="000000" w:themeColor="text1"/>
          <w:lang w:eastAsia="en-AU"/>
        </w:rPr>
      </w:pPr>
      <w:r>
        <w:rPr>
          <w:rFonts w:eastAsia="Times New Roman" w:cs="Arial"/>
          <w:b/>
          <w:bCs/>
          <w:color w:val="000000" w:themeColor="text1"/>
          <w:lang w:eastAsia="en-AU"/>
        </w:rPr>
        <w:t>Aboriginal Carbon Fund 2017</w:t>
      </w:r>
      <w:r w:rsidRPr="00701FD9">
        <w:rPr>
          <w:rFonts w:eastAsia="Times New Roman" w:cs="Arial"/>
          <w:bCs/>
          <w:color w:val="000000" w:themeColor="text1"/>
          <w:lang w:eastAsia="en-AU"/>
        </w:rPr>
        <w:t>,</w:t>
      </w:r>
      <w:r>
        <w:rPr>
          <w:rFonts w:eastAsia="Times New Roman" w:cs="Arial"/>
          <w:b/>
          <w:bCs/>
          <w:color w:val="000000" w:themeColor="text1"/>
          <w:lang w:eastAsia="en-AU"/>
        </w:rPr>
        <w:t xml:space="preserve"> </w:t>
      </w:r>
      <w:r w:rsidRPr="00701FD9">
        <w:rPr>
          <w:rFonts w:eastAsia="Times New Roman" w:cs="Arial"/>
          <w:bCs/>
          <w:i/>
          <w:color w:val="000000" w:themeColor="text1"/>
          <w:lang w:eastAsia="en-AU"/>
        </w:rPr>
        <w:t xml:space="preserve">Optimising opportunities for </w:t>
      </w:r>
      <w:r w:rsidR="00501E9F">
        <w:rPr>
          <w:rFonts w:eastAsia="Times New Roman" w:cs="Arial"/>
          <w:bCs/>
          <w:i/>
          <w:color w:val="000000" w:themeColor="text1"/>
          <w:lang w:eastAsia="en-AU"/>
        </w:rPr>
        <w:t>I</w:t>
      </w:r>
      <w:r w:rsidRPr="00701FD9">
        <w:rPr>
          <w:rFonts w:eastAsia="Times New Roman" w:cs="Arial"/>
          <w:bCs/>
          <w:i/>
          <w:color w:val="000000" w:themeColor="text1"/>
          <w:lang w:eastAsia="en-AU"/>
        </w:rPr>
        <w:t xml:space="preserve">ndigenous Australians in the </w:t>
      </w:r>
      <w:r w:rsidR="006303D3">
        <w:rPr>
          <w:rFonts w:eastAsia="Times New Roman" w:cs="Arial"/>
          <w:bCs/>
          <w:i/>
          <w:color w:val="000000" w:themeColor="text1"/>
          <w:lang w:eastAsia="en-AU"/>
        </w:rPr>
        <w:t>E</w:t>
      </w:r>
      <w:r w:rsidRPr="00701FD9">
        <w:rPr>
          <w:rFonts w:eastAsia="Times New Roman" w:cs="Arial"/>
          <w:bCs/>
          <w:i/>
          <w:color w:val="000000" w:themeColor="text1"/>
          <w:lang w:eastAsia="en-AU"/>
        </w:rPr>
        <w:t xml:space="preserve">missions </w:t>
      </w:r>
      <w:r w:rsidR="006303D3">
        <w:rPr>
          <w:rFonts w:eastAsia="Times New Roman" w:cs="Arial"/>
          <w:bCs/>
          <w:i/>
          <w:color w:val="000000" w:themeColor="text1"/>
          <w:lang w:eastAsia="en-AU"/>
        </w:rPr>
        <w:t>R</w:t>
      </w:r>
      <w:r w:rsidRPr="00701FD9">
        <w:rPr>
          <w:rFonts w:eastAsia="Times New Roman" w:cs="Arial"/>
          <w:bCs/>
          <w:i/>
          <w:color w:val="000000" w:themeColor="text1"/>
          <w:lang w:eastAsia="en-AU"/>
        </w:rPr>
        <w:t xml:space="preserve">eduction </w:t>
      </w:r>
      <w:r w:rsidR="006303D3">
        <w:rPr>
          <w:rFonts w:eastAsia="Times New Roman" w:cs="Arial"/>
          <w:bCs/>
          <w:i/>
          <w:color w:val="000000" w:themeColor="text1"/>
          <w:lang w:eastAsia="en-AU"/>
        </w:rPr>
        <w:t>F</w:t>
      </w:r>
      <w:r w:rsidRPr="00701FD9">
        <w:rPr>
          <w:rFonts w:eastAsia="Times New Roman" w:cs="Arial"/>
          <w:bCs/>
          <w:i/>
          <w:color w:val="000000" w:themeColor="text1"/>
          <w:lang w:eastAsia="en-AU"/>
        </w:rPr>
        <w:t>und</w:t>
      </w:r>
      <w:r>
        <w:rPr>
          <w:rFonts w:eastAsia="Times New Roman" w:cs="Arial"/>
          <w:bCs/>
          <w:color w:val="000000" w:themeColor="text1"/>
          <w:lang w:eastAsia="en-AU"/>
        </w:rPr>
        <w:t xml:space="preserve">, Aboriginal Carbon Fund, Alice Springs. </w:t>
      </w:r>
      <w:r>
        <w:rPr>
          <w:rFonts w:eastAsia="Times New Roman" w:cs="Arial"/>
          <w:b/>
          <w:bCs/>
          <w:color w:val="000000" w:themeColor="text1"/>
          <w:lang w:eastAsia="en-AU"/>
        </w:rPr>
        <w:t xml:space="preserve"> </w:t>
      </w:r>
    </w:p>
    <w:p w14:paraId="52322047" w14:textId="77777777" w:rsidR="00387361" w:rsidRPr="005206CA" w:rsidRDefault="00387361" w:rsidP="001C4743">
      <w:pPr>
        <w:rPr>
          <w:rFonts w:eastAsia="Times New Roman" w:cs="Arial"/>
          <w:color w:val="000000" w:themeColor="text1"/>
          <w:lang w:eastAsia="en-AU"/>
        </w:rPr>
      </w:pPr>
      <w:r w:rsidRPr="005206CA">
        <w:rPr>
          <w:rFonts w:eastAsia="Times New Roman" w:cs="Arial"/>
          <w:b/>
          <w:bCs/>
          <w:color w:val="000000" w:themeColor="text1"/>
          <w:lang w:eastAsia="en-AU"/>
        </w:rPr>
        <w:t>Allen, DE, Pringle, MJ, Bray, S, Hall, TJ, O’Reagain, PO, Phelps, D, Cobon, DH, Bloesch, PM, &amp; Dalal, RC 2013</w:t>
      </w:r>
      <w:r w:rsidRPr="005206CA">
        <w:rPr>
          <w:rFonts w:eastAsia="Times New Roman" w:cs="Arial"/>
          <w:color w:val="000000" w:themeColor="text1"/>
          <w:lang w:eastAsia="en-AU"/>
        </w:rPr>
        <w:t xml:space="preserve">, ‘What determines soil organic carbon stocks in the grazing lands of north-eastern Australia?’, </w:t>
      </w:r>
      <w:r w:rsidRPr="005206CA">
        <w:rPr>
          <w:rFonts w:eastAsia="Times New Roman" w:cs="Arial"/>
          <w:i/>
          <w:iCs/>
          <w:color w:val="000000" w:themeColor="text1"/>
          <w:lang w:eastAsia="en-AU"/>
        </w:rPr>
        <w:t>Soil Research</w:t>
      </w:r>
      <w:r w:rsidRPr="005206CA">
        <w:rPr>
          <w:rFonts w:eastAsia="Times New Roman" w:cs="Arial"/>
          <w:color w:val="000000" w:themeColor="text1"/>
          <w:lang w:eastAsia="en-AU"/>
        </w:rPr>
        <w:t>, vol. 51, no. 8, pp. 695–706.</w:t>
      </w:r>
    </w:p>
    <w:p w14:paraId="62ECAF09" w14:textId="6EBCED03" w:rsidR="00F34F86" w:rsidRPr="005206CA" w:rsidRDefault="00F34F86" w:rsidP="00E55312">
      <w:pPr>
        <w:spacing w:line="240" w:lineRule="auto"/>
        <w:rPr>
          <w:rFonts w:eastAsia="Times New Roman" w:cs="Arial"/>
          <w:bCs/>
          <w:color w:val="000000" w:themeColor="text1"/>
          <w:lang w:eastAsia="en-AU"/>
        </w:rPr>
      </w:pPr>
      <w:r w:rsidRPr="005206CA">
        <w:rPr>
          <w:rFonts w:eastAsia="Times New Roman" w:cs="Arial"/>
          <w:b/>
          <w:bCs/>
          <w:color w:val="000000" w:themeColor="text1"/>
          <w:lang w:eastAsia="en-AU"/>
        </w:rPr>
        <w:t xml:space="preserve">Auditing and Assurance Standards Board (AUASB) n.d., </w:t>
      </w:r>
      <w:r w:rsidRPr="005206CA">
        <w:rPr>
          <w:rFonts w:eastAsia="Times New Roman" w:cs="Arial"/>
          <w:bCs/>
          <w:i/>
          <w:color w:val="000000" w:themeColor="text1"/>
          <w:lang w:eastAsia="en-AU"/>
        </w:rPr>
        <w:t>Australian Auditing Standards</w:t>
      </w:r>
      <w:r w:rsidR="00E276EA" w:rsidRPr="00AC7279">
        <w:rPr>
          <w:rFonts w:eastAsia="Times New Roman" w:cs="Arial"/>
          <w:i/>
          <w:color w:val="000000" w:themeColor="text1"/>
          <w:lang w:eastAsia="en-AU"/>
        </w:rPr>
        <w:t xml:space="preserve">, </w:t>
      </w:r>
      <w:r w:rsidR="00E276EA" w:rsidRPr="00AC7279">
        <w:rPr>
          <w:rFonts w:eastAsia="Times New Roman" w:cs="Arial"/>
          <w:color w:val="000000" w:themeColor="text1"/>
          <w:lang w:eastAsia="en-AU"/>
        </w:rPr>
        <w:t>AUASB, Melbourne,</w:t>
      </w:r>
      <w:r w:rsidR="00E276EA" w:rsidRPr="00AC7279">
        <w:rPr>
          <w:rFonts w:eastAsia="Times New Roman" w:cs="Arial"/>
          <w:i/>
          <w:color w:val="000000" w:themeColor="text1"/>
          <w:lang w:eastAsia="en-AU"/>
        </w:rPr>
        <w:t xml:space="preserve"> </w:t>
      </w:r>
      <w:r w:rsidRPr="005206CA">
        <w:rPr>
          <w:rFonts w:eastAsia="Times New Roman" w:cs="Arial"/>
          <w:bCs/>
          <w:color w:val="000000" w:themeColor="text1"/>
          <w:lang w:eastAsia="en-AU"/>
        </w:rPr>
        <w:t xml:space="preserve">viewed 4 December 2017, </w:t>
      </w:r>
      <w:r w:rsidR="00E276EA" w:rsidRPr="00AC7279">
        <w:rPr>
          <w:rFonts w:eastAsia="Times New Roman" w:cs="Arial"/>
          <w:color w:val="000000" w:themeColor="text1"/>
          <w:lang w:eastAsia="en-AU"/>
        </w:rPr>
        <w:br/>
      </w:r>
      <w:hyperlink r:id="rId38" w:history="1">
        <w:r w:rsidR="00946455" w:rsidRPr="00F77E27">
          <w:rPr>
            <w:rStyle w:val="Hyperlink"/>
            <w:rFonts w:eastAsia="Times New Roman" w:cs="Arial"/>
            <w:bCs/>
            <w:lang w:eastAsia="en-AU"/>
          </w:rPr>
          <w:t>www.auasb.gov.au/Pronouncements/Australian-Auditing-Standards.aspx</w:t>
        </w:r>
      </w:hyperlink>
      <w:r w:rsidR="00946455">
        <w:rPr>
          <w:rFonts w:eastAsia="Times New Roman" w:cs="Arial"/>
          <w:bCs/>
          <w:color w:val="000000" w:themeColor="text1"/>
          <w:lang w:eastAsia="en-AU"/>
        </w:rPr>
        <w:t xml:space="preserve"> </w:t>
      </w:r>
    </w:p>
    <w:p w14:paraId="7C705B1E" w14:textId="59D59DA9" w:rsidR="0001669F" w:rsidRDefault="0001669F" w:rsidP="00E55312">
      <w:pPr>
        <w:spacing w:line="240" w:lineRule="auto"/>
        <w:rPr>
          <w:rFonts w:eastAsia="Times New Roman" w:cs="Arial"/>
          <w:b/>
          <w:bCs/>
          <w:color w:val="000000" w:themeColor="text1"/>
          <w:lang w:eastAsia="en-AU"/>
        </w:rPr>
      </w:pPr>
      <w:r w:rsidRPr="005206CA">
        <w:rPr>
          <w:rFonts w:eastAsia="Times New Roman" w:cs="Arial"/>
          <w:b/>
          <w:bCs/>
          <w:color w:val="000000" w:themeColor="text1"/>
          <w:lang w:eastAsia="en-AU"/>
        </w:rPr>
        <w:t>Australian Energy Market Commission</w:t>
      </w:r>
      <w:r>
        <w:rPr>
          <w:rFonts w:eastAsia="Times New Roman" w:cs="Arial"/>
          <w:b/>
          <w:bCs/>
          <w:color w:val="000000" w:themeColor="text1"/>
          <w:lang w:eastAsia="en-AU"/>
        </w:rPr>
        <w:t xml:space="preserve"> and</w:t>
      </w:r>
      <w:r w:rsidRPr="005206CA">
        <w:rPr>
          <w:rFonts w:eastAsia="Times New Roman" w:cs="Arial"/>
          <w:b/>
          <w:bCs/>
          <w:color w:val="000000" w:themeColor="text1"/>
          <w:lang w:eastAsia="en-AU"/>
        </w:rPr>
        <w:t xml:space="preserve"> Climate Change Authority </w:t>
      </w:r>
      <w:r>
        <w:rPr>
          <w:rFonts w:eastAsia="Times New Roman" w:cs="Arial"/>
          <w:b/>
          <w:bCs/>
          <w:color w:val="000000" w:themeColor="text1"/>
          <w:lang w:eastAsia="en-AU"/>
        </w:rPr>
        <w:t>(</w:t>
      </w:r>
      <w:r w:rsidRPr="005206CA">
        <w:rPr>
          <w:rFonts w:eastAsia="Times New Roman" w:cs="Arial"/>
          <w:b/>
          <w:bCs/>
          <w:color w:val="000000" w:themeColor="text1"/>
          <w:lang w:eastAsia="en-AU"/>
        </w:rPr>
        <w:t>AEMC</w:t>
      </w:r>
      <w:r>
        <w:rPr>
          <w:rFonts w:eastAsia="Times New Roman" w:cs="Arial"/>
          <w:b/>
          <w:bCs/>
          <w:color w:val="000000" w:themeColor="text1"/>
          <w:lang w:eastAsia="en-AU"/>
        </w:rPr>
        <w:t xml:space="preserve"> &amp; CCA</w:t>
      </w:r>
      <w:r w:rsidRPr="005206CA">
        <w:rPr>
          <w:rFonts w:eastAsia="Times New Roman" w:cs="Arial"/>
          <w:b/>
          <w:bCs/>
          <w:color w:val="000000" w:themeColor="text1"/>
          <w:lang w:eastAsia="en-AU"/>
        </w:rPr>
        <w:t>)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Towards the next generation: delivering affordable, secure and lower emissions power</w:t>
      </w:r>
      <w:r w:rsidRPr="005206CA">
        <w:rPr>
          <w:rFonts w:eastAsia="Times New Roman" w:cs="Arial"/>
          <w:color w:val="000000" w:themeColor="text1"/>
          <w:lang w:eastAsia="en-AU"/>
        </w:rPr>
        <w:t>, CCA, Canberra.</w:t>
      </w:r>
    </w:p>
    <w:p w14:paraId="1B34635A" w14:textId="07C553BF"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Australian Business Council for Sustainable Energy &amp; Clean Energy Council (ABCSE </w:t>
      </w:r>
      <w:r w:rsidR="00EE4B97" w:rsidRPr="005206CA">
        <w:rPr>
          <w:rFonts w:eastAsia="Times New Roman" w:cs="Arial"/>
          <w:b/>
          <w:bCs/>
          <w:color w:val="000000" w:themeColor="text1"/>
          <w:lang w:eastAsia="en-AU"/>
        </w:rPr>
        <w:t>&amp;</w:t>
      </w:r>
      <w:r w:rsidRPr="005206CA">
        <w:rPr>
          <w:rFonts w:eastAsia="Times New Roman" w:cs="Arial"/>
          <w:b/>
          <w:bCs/>
          <w:color w:val="000000" w:themeColor="text1"/>
          <w:lang w:eastAsia="en-AU"/>
        </w:rPr>
        <w:t xml:space="preserve"> CEC) 2005</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Waste to energy: a guide for local authorities</w:t>
      </w:r>
      <w:r w:rsidRPr="005206CA">
        <w:rPr>
          <w:rFonts w:eastAsia="Times New Roman" w:cs="Arial"/>
          <w:color w:val="000000" w:themeColor="text1"/>
          <w:lang w:eastAsia="en-AU"/>
        </w:rPr>
        <w:t>, CEC, Southbank.</w:t>
      </w:r>
    </w:p>
    <w:p w14:paraId="068EBE01" w14:textId="77777777"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Australian Government 2014</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Emissions Reduction Fund White Paper</w:t>
      </w:r>
      <w:r w:rsidRPr="005206CA">
        <w:rPr>
          <w:rFonts w:eastAsia="Times New Roman" w:cs="Arial"/>
          <w:color w:val="000000" w:themeColor="text1"/>
          <w:lang w:eastAsia="en-AU"/>
        </w:rPr>
        <w:t>, Commonwealth of Australia, Canberra.</w:t>
      </w:r>
    </w:p>
    <w:p w14:paraId="1D5F0E94" w14:textId="77777777"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Australian Government 2017</w:t>
      </w:r>
      <w:r w:rsidRPr="005206CA">
        <w:rPr>
          <w:rFonts w:eastAsia="Times New Roman" w:cs="Arial"/>
          <w:color w:val="000000" w:themeColor="text1"/>
          <w:lang w:eastAsia="en-AU"/>
        </w:rPr>
        <w:t xml:space="preserve">, </w:t>
      </w:r>
      <w:r w:rsidRPr="004506F7">
        <w:rPr>
          <w:rFonts w:eastAsia="Times New Roman" w:cs="Arial"/>
          <w:i/>
          <w:color w:val="000000" w:themeColor="text1"/>
          <w:lang w:eastAsia="en-AU"/>
        </w:rPr>
        <w:t>Budget 2016-17 Portfolio Budget Statements</w:t>
      </w:r>
      <w:r w:rsidRPr="005206CA">
        <w:rPr>
          <w:rFonts w:eastAsia="Times New Roman" w:cs="Arial"/>
          <w:color w:val="000000" w:themeColor="text1"/>
          <w:lang w:eastAsia="en-AU"/>
        </w:rPr>
        <w:t>, Budget Related Paper No. 17, Environment Portfolio.</w:t>
      </w:r>
    </w:p>
    <w:p w14:paraId="2E8F950A" w14:textId="10B2682E"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Australian National Audit Office (ANAO) 2016</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Abatement Crediting and Purchasing under the Emissions Reduction Fund</w:t>
      </w:r>
      <w:r w:rsidRPr="005206CA">
        <w:rPr>
          <w:rFonts w:eastAsia="Times New Roman" w:cs="Arial"/>
          <w:color w:val="000000" w:themeColor="text1"/>
          <w:lang w:eastAsia="en-AU"/>
        </w:rPr>
        <w:t xml:space="preserve">, ANAO, Canberra, viewed 19 July 2017, </w:t>
      </w:r>
      <w:r w:rsidRPr="005206CA">
        <w:rPr>
          <w:rFonts w:eastAsia="Times New Roman" w:cs="Arial"/>
          <w:color w:val="000000" w:themeColor="text1"/>
          <w:lang w:eastAsia="en-AU"/>
        </w:rPr>
        <w:br/>
      </w:r>
      <w:hyperlink r:id="rId39" w:history="1">
        <w:r w:rsidR="00946455" w:rsidRPr="00F77E27">
          <w:rPr>
            <w:rStyle w:val="Hyperlink"/>
            <w:rFonts w:eastAsia="Times New Roman" w:cs="Arial"/>
            <w:lang w:eastAsia="en-AU"/>
          </w:rPr>
          <w:t>www.anao.gov.au/work/performance-audit/emissions-reduction-fund-abatement-crediting-and-purchasing</w:t>
        </w:r>
      </w:hyperlink>
      <w:r w:rsidR="00946455">
        <w:rPr>
          <w:rFonts w:eastAsia="Times New Roman" w:cs="Arial"/>
          <w:color w:val="000000" w:themeColor="text1"/>
          <w:lang w:eastAsia="en-AU"/>
        </w:rPr>
        <w:t xml:space="preserve"> </w:t>
      </w:r>
    </w:p>
    <w:p w14:paraId="015937AE" w14:textId="3102CE7A" w:rsidR="00387361" w:rsidRPr="005206CA" w:rsidRDefault="007773A2"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ANAO</w:t>
      </w:r>
      <w:r w:rsidR="00387361" w:rsidRPr="005206CA">
        <w:rPr>
          <w:rFonts w:eastAsia="Times New Roman" w:cs="Arial"/>
          <w:b/>
          <w:bCs/>
          <w:color w:val="000000" w:themeColor="text1"/>
          <w:lang w:eastAsia="en-AU"/>
        </w:rPr>
        <w:t xml:space="preserve"> 2017</w:t>
      </w:r>
      <w:r w:rsidR="00387361" w:rsidRPr="005206CA">
        <w:rPr>
          <w:rFonts w:eastAsia="Times New Roman" w:cs="Arial"/>
          <w:color w:val="000000" w:themeColor="text1"/>
          <w:lang w:eastAsia="en-AU"/>
        </w:rPr>
        <w:t xml:space="preserve">, </w:t>
      </w:r>
      <w:r w:rsidR="00387361" w:rsidRPr="005206CA">
        <w:rPr>
          <w:rFonts w:eastAsia="Times New Roman" w:cs="Arial"/>
          <w:i/>
          <w:iCs/>
          <w:color w:val="000000" w:themeColor="text1"/>
          <w:lang w:eastAsia="en-AU"/>
        </w:rPr>
        <w:t>Efficiency of the Australia Council’s Administration of Grants</w:t>
      </w:r>
      <w:r w:rsidR="00387361" w:rsidRPr="005206CA">
        <w:rPr>
          <w:rFonts w:eastAsia="Times New Roman" w:cs="Arial"/>
          <w:color w:val="000000" w:themeColor="text1"/>
          <w:lang w:eastAsia="en-AU"/>
        </w:rPr>
        <w:t xml:space="preserve">, ANAO, Canberra, viewed 28 September 2017, </w:t>
      </w:r>
      <w:r w:rsidR="00387361" w:rsidRPr="005206CA">
        <w:rPr>
          <w:rFonts w:eastAsia="Times New Roman" w:cs="Arial"/>
          <w:color w:val="000000" w:themeColor="text1"/>
          <w:lang w:eastAsia="en-AU"/>
        </w:rPr>
        <w:br/>
      </w:r>
      <w:hyperlink r:id="rId40" w:history="1">
        <w:r w:rsidR="00946455" w:rsidRPr="00F77E27">
          <w:rPr>
            <w:rStyle w:val="Hyperlink"/>
            <w:rFonts w:eastAsia="Times New Roman" w:cs="Arial"/>
            <w:lang w:eastAsia="en-AU"/>
          </w:rPr>
          <w:t>www.anao.gov.au/sites/g/files/net3241/f/ANAO_Report_2017-2018_7.pdf</w:t>
        </w:r>
      </w:hyperlink>
      <w:r w:rsidR="004506F7">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3611D9E4" w14:textId="77777777"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Badgery, W, Simmons, A, Murphy, B, Rawson, A, Andersson, K &amp; Lonergan, V, 2014</w:t>
      </w:r>
      <w:r w:rsidRPr="005206CA">
        <w:rPr>
          <w:rFonts w:eastAsia="Times New Roman" w:cs="Arial"/>
          <w:color w:val="000000" w:themeColor="text1"/>
          <w:lang w:eastAsia="en-AU"/>
        </w:rPr>
        <w:t xml:space="preserve">, 'The influence of land use and management on soil carbon levels for crop-pasture systems in Central New South Wales, Australia', </w:t>
      </w:r>
      <w:r w:rsidRPr="005206CA">
        <w:rPr>
          <w:rFonts w:eastAsia="Times New Roman" w:cs="Arial"/>
          <w:i/>
          <w:iCs/>
          <w:color w:val="000000" w:themeColor="text1"/>
          <w:lang w:eastAsia="en-AU"/>
        </w:rPr>
        <w:t>Agriculture, Ecosystems &amp; Environment</w:t>
      </w:r>
      <w:r w:rsidRPr="005206CA">
        <w:rPr>
          <w:rFonts w:eastAsia="Times New Roman" w:cs="Arial"/>
          <w:color w:val="000000" w:themeColor="text1"/>
          <w:lang w:eastAsia="en-AU"/>
        </w:rPr>
        <w:t>, vol. 196, pp. 147–157.</w:t>
      </w:r>
    </w:p>
    <w:p w14:paraId="291F71F5" w14:textId="4A46DF95" w:rsidR="00051235" w:rsidRPr="005206CA" w:rsidRDefault="00051235" w:rsidP="00E55312">
      <w:pPr>
        <w:spacing w:line="240" w:lineRule="auto"/>
        <w:rPr>
          <w:rFonts w:eastAsia="Times New Roman" w:cs="Arial"/>
          <w:color w:val="000000"/>
          <w:lang w:eastAsia="en-AU"/>
        </w:rPr>
      </w:pPr>
      <w:r w:rsidRPr="005206CA">
        <w:rPr>
          <w:rFonts w:eastAsia="Times New Roman" w:cs="Arial"/>
          <w:b/>
          <w:bCs/>
          <w:color w:val="000000"/>
          <w:lang w:eastAsia="en-AU"/>
        </w:rPr>
        <w:t xml:space="preserve">Blakers, M </w:t>
      </w:r>
      <w:r w:rsidR="002E3D02" w:rsidRPr="005206CA">
        <w:rPr>
          <w:rFonts w:eastAsia="Times New Roman" w:cs="Arial"/>
          <w:b/>
          <w:bCs/>
          <w:color w:val="000000"/>
          <w:lang w:eastAsia="en-AU"/>
        </w:rPr>
        <w:t>&amp;</w:t>
      </w:r>
      <w:r w:rsidRPr="005206CA">
        <w:rPr>
          <w:rFonts w:eastAsia="Times New Roman" w:cs="Arial"/>
          <w:b/>
          <w:bCs/>
          <w:color w:val="000000"/>
          <w:lang w:eastAsia="en-AU"/>
        </w:rPr>
        <w:t xml:space="preserve"> Considine, M 2016</w:t>
      </w:r>
      <w:r w:rsidRPr="005206CA">
        <w:rPr>
          <w:rFonts w:eastAsia="Times New Roman" w:cs="Arial"/>
          <w:color w:val="000000"/>
          <w:lang w:eastAsia="en-AU"/>
        </w:rPr>
        <w:t xml:space="preserve">, </w:t>
      </w:r>
      <w:r w:rsidRPr="005206CA">
        <w:rPr>
          <w:rFonts w:eastAsia="Times New Roman" w:cs="Arial"/>
          <w:i/>
          <w:iCs/>
          <w:color w:val="000000"/>
          <w:lang w:eastAsia="en-AU"/>
        </w:rPr>
        <w:t>Mulga bills won’t settle our climate accounts: An analysis of the Emissions Reduction Fund</w:t>
      </w:r>
      <w:r w:rsidRPr="005206CA">
        <w:rPr>
          <w:rFonts w:eastAsia="Times New Roman" w:cs="Arial"/>
          <w:color w:val="000000"/>
          <w:lang w:eastAsia="en-AU"/>
        </w:rPr>
        <w:t>, The Green Institute, Canberra</w:t>
      </w:r>
      <w:r w:rsidR="008700CA">
        <w:rPr>
          <w:rFonts w:eastAsia="Times New Roman" w:cs="Arial"/>
          <w:color w:val="000000"/>
          <w:lang w:eastAsia="en-AU"/>
        </w:rPr>
        <w:t>,</w:t>
      </w:r>
      <w:r w:rsidRPr="005206CA">
        <w:rPr>
          <w:rFonts w:eastAsia="Times New Roman" w:cs="Arial"/>
          <w:color w:val="000000"/>
          <w:lang w:eastAsia="en-AU"/>
        </w:rPr>
        <w:br/>
      </w:r>
      <w:hyperlink r:id="rId41" w:history="1">
        <w:r w:rsidR="00946455" w:rsidRPr="00F77E27">
          <w:rPr>
            <w:rStyle w:val="Hyperlink"/>
            <w:rFonts w:eastAsia="Times New Roman" w:cs="Arial"/>
            <w:lang w:eastAsia="en-AU"/>
          </w:rPr>
          <w:t>www.greeninstitute.org.au/wp-content/uploads/2016/11/Mulga_Bill_Web_BM.pdf</w:t>
        </w:r>
      </w:hyperlink>
      <w:r w:rsidR="004506F7">
        <w:rPr>
          <w:rFonts w:eastAsia="Times New Roman" w:cs="Arial"/>
          <w:color w:val="000000"/>
          <w:lang w:eastAsia="en-AU"/>
        </w:rPr>
        <w:t>.</w:t>
      </w:r>
      <w:r w:rsidR="00946455">
        <w:rPr>
          <w:rFonts w:eastAsia="Times New Roman" w:cs="Arial"/>
          <w:color w:val="000000"/>
          <w:lang w:eastAsia="en-AU"/>
        </w:rPr>
        <w:t xml:space="preserve"> </w:t>
      </w:r>
    </w:p>
    <w:p w14:paraId="32428A63" w14:textId="77777777"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Bryan, BA, Hatfield-Dodds, S, Nolan, M, McKellar, L, Grundy, MJ, McCallum, R 2015</w:t>
      </w:r>
      <w:r w:rsidRPr="005206CA">
        <w:rPr>
          <w:rFonts w:eastAsia="Times New Roman" w:cs="Arial"/>
          <w:color w:val="000000" w:themeColor="text1"/>
          <w:lang w:eastAsia="en-AU"/>
        </w:rPr>
        <w:t xml:space="preserve">, </w:t>
      </w:r>
      <w:r w:rsidRPr="004506F7">
        <w:rPr>
          <w:rFonts w:eastAsia="Times New Roman" w:cs="Arial"/>
          <w:i/>
          <w:color w:val="000000" w:themeColor="text1"/>
          <w:lang w:eastAsia="en-AU"/>
        </w:rPr>
        <w:t>Potential for Australian land-sector carbon sequestration and implications for land use, food, waste and biodiversity</w:t>
      </w:r>
      <w:r w:rsidRPr="005206CA">
        <w:rPr>
          <w:rFonts w:eastAsia="Times New Roman" w:cs="Arial"/>
          <w:color w:val="000000" w:themeColor="text1"/>
          <w:lang w:eastAsia="en-AU"/>
        </w:rPr>
        <w:t>, Report for the Australian National Outlook 2015, CSIRO, Canberra.</w:t>
      </w:r>
    </w:p>
    <w:p w14:paraId="6CD16F17" w14:textId="77777777" w:rsidR="00387361" w:rsidRPr="005206CA" w:rsidRDefault="00387361" w:rsidP="00E55312">
      <w:pPr>
        <w:spacing w:line="240" w:lineRule="auto"/>
        <w:rPr>
          <w:rFonts w:eastAsia="Times New Roman" w:cs="Arial"/>
          <w:color w:val="000000" w:themeColor="text1"/>
          <w:lang w:eastAsia="en-AU"/>
        </w:rPr>
      </w:pPr>
      <w:r w:rsidRPr="00AC7279">
        <w:rPr>
          <w:rFonts w:eastAsia="Times New Roman" w:cs="Arial"/>
          <w:color w:val="000000" w:themeColor="text1"/>
          <w:lang w:eastAsia="en-AU"/>
        </w:rPr>
        <w:t>Carbon Credits (Carbon Farming Initiative) Amendment Bill 2017</w:t>
      </w:r>
      <w:r w:rsidRPr="005206CA">
        <w:rPr>
          <w:rFonts w:eastAsia="Times New Roman" w:cs="Arial"/>
          <w:color w:val="000000" w:themeColor="text1"/>
          <w:lang w:eastAsia="en-AU"/>
        </w:rPr>
        <w:t xml:space="preserve"> (Cth).</w:t>
      </w:r>
    </w:p>
    <w:p w14:paraId="20027E2A" w14:textId="77777777" w:rsidR="002A1A2B" w:rsidRPr="005206CA" w:rsidRDefault="002A1A2B" w:rsidP="002A1A2B">
      <w:pPr>
        <w:spacing w:line="240" w:lineRule="auto"/>
        <w:rPr>
          <w:rFonts w:eastAsia="Times New Roman" w:cs="Arial"/>
          <w:color w:val="000000" w:themeColor="text1"/>
          <w:lang w:eastAsia="en-AU"/>
        </w:rPr>
      </w:pPr>
      <w:r w:rsidRPr="005206CA">
        <w:rPr>
          <w:rFonts w:eastAsia="Times New Roman" w:cs="Arial"/>
          <w:color w:val="000000" w:themeColor="text1"/>
          <w:lang w:eastAsia="en-AU"/>
        </w:rPr>
        <w:t>Carbon Credits (Carbon Farming Initiative) Regulations 2011 (Cth).</w:t>
      </w:r>
    </w:p>
    <w:p w14:paraId="00C4742C" w14:textId="77777777" w:rsidR="00387361" w:rsidRPr="005206CA" w:rsidRDefault="00387361" w:rsidP="00E55312">
      <w:pPr>
        <w:spacing w:line="240" w:lineRule="auto"/>
        <w:rPr>
          <w:rFonts w:eastAsia="Times New Roman" w:cs="Arial"/>
          <w:color w:val="000000" w:themeColor="text1"/>
          <w:lang w:eastAsia="en-AU"/>
        </w:rPr>
      </w:pPr>
      <w:r w:rsidRPr="005206CA">
        <w:rPr>
          <w:rFonts w:eastAsia="Times New Roman" w:cs="Arial"/>
          <w:i/>
          <w:iCs/>
          <w:color w:val="000000" w:themeColor="text1"/>
          <w:lang w:eastAsia="en-AU"/>
        </w:rPr>
        <w:t>Carbon Credits (Carbon Farming Initiative) Rule 2015</w:t>
      </w:r>
      <w:r w:rsidRPr="005206CA">
        <w:rPr>
          <w:rFonts w:eastAsia="Times New Roman" w:cs="Arial"/>
          <w:color w:val="000000" w:themeColor="text1"/>
          <w:lang w:eastAsia="en-AU"/>
        </w:rPr>
        <w:t xml:space="preserve"> (Cth).</w:t>
      </w:r>
    </w:p>
    <w:p w14:paraId="118491BF" w14:textId="08BB8663" w:rsidR="007773A2" w:rsidRPr="005206CA" w:rsidRDefault="007773A2"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Carbon Market Institute (CMI) n.d.</w:t>
      </w:r>
      <w:r w:rsidRPr="005206CA">
        <w:rPr>
          <w:rFonts w:eastAsia="Times New Roman" w:cs="Arial"/>
          <w:color w:val="000000" w:themeColor="text1"/>
          <w:lang w:eastAsia="en-AU"/>
        </w:rPr>
        <w:t>,</w:t>
      </w:r>
      <w:r w:rsidRPr="005206CA">
        <w:rPr>
          <w:rFonts w:eastAsia="Times New Roman" w:cs="Arial"/>
          <w:i/>
          <w:iCs/>
          <w:color w:val="000000" w:themeColor="text1"/>
          <w:lang w:eastAsia="en-AU"/>
        </w:rPr>
        <w:t xml:space="preserve"> Australia’s Carbon Marketplace</w:t>
      </w:r>
      <w:r w:rsidRPr="005206CA">
        <w:rPr>
          <w:rFonts w:eastAsia="Times New Roman" w:cs="Arial"/>
          <w:color w:val="000000" w:themeColor="text1"/>
          <w:lang w:eastAsia="en-AU"/>
        </w:rPr>
        <w:t xml:space="preserve">, CMI, Melbourne, viewed 30 November 2017, </w:t>
      </w:r>
      <w:r w:rsidRPr="005206CA">
        <w:rPr>
          <w:rFonts w:eastAsia="Times New Roman" w:cs="Arial"/>
          <w:color w:val="000000" w:themeColor="text1"/>
          <w:lang w:eastAsia="en-AU"/>
        </w:rPr>
        <w:br/>
      </w:r>
      <w:hyperlink r:id="rId42" w:history="1">
        <w:r w:rsidR="00946455" w:rsidRPr="00F77E27">
          <w:rPr>
            <w:rStyle w:val="Hyperlink"/>
            <w:rFonts w:eastAsia="Times New Roman" w:cs="Arial"/>
            <w:lang w:eastAsia="en-AU"/>
          </w:rPr>
          <w:t>www.marketplace.carbonmarketinstitute.org</w:t>
        </w:r>
      </w:hyperlink>
      <w:r w:rsidR="00946455">
        <w:rPr>
          <w:rFonts w:eastAsia="Times New Roman" w:cs="Arial"/>
          <w:color w:val="000000" w:themeColor="text1"/>
          <w:lang w:eastAsia="en-AU"/>
        </w:rPr>
        <w:t xml:space="preserve"> </w:t>
      </w:r>
    </w:p>
    <w:p w14:paraId="7A42A041" w14:textId="739E176E"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CMI 2017</w:t>
      </w:r>
      <w:r w:rsidRPr="005206CA">
        <w:rPr>
          <w:rFonts w:eastAsia="Times New Roman" w:cs="Arial"/>
          <w:color w:val="000000" w:themeColor="text1"/>
          <w:lang w:eastAsia="en-AU"/>
        </w:rPr>
        <w:t xml:space="preserve">, </w:t>
      </w:r>
      <w:r w:rsidRPr="00FB75B8">
        <w:rPr>
          <w:rFonts w:eastAsia="Times New Roman" w:cs="Arial"/>
          <w:i/>
          <w:color w:val="000000" w:themeColor="text1"/>
          <w:lang w:eastAsia="en-AU"/>
        </w:rPr>
        <w:t>Carbon Farming Industry Roadmap</w:t>
      </w:r>
      <w:r w:rsidRPr="005206CA">
        <w:rPr>
          <w:rFonts w:eastAsia="Times New Roman" w:cs="Arial"/>
          <w:color w:val="000000" w:themeColor="text1"/>
          <w:lang w:eastAsia="en-AU"/>
        </w:rPr>
        <w:t xml:space="preserve">, report, viewed 30 November 2017, Carbon Market Institute, Melbourne, </w:t>
      </w:r>
      <w:r w:rsidRPr="005206CA">
        <w:rPr>
          <w:rFonts w:eastAsia="Times New Roman" w:cs="Arial"/>
          <w:color w:val="000000" w:themeColor="text1"/>
          <w:lang w:eastAsia="en-AU"/>
        </w:rPr>
        <w:br/>
      </w:r>
      <w:hyperlink r:id="rId43" w:history="1">
        <w:r w:rsidR="00946455" w:rsidRPr="00F77E27">
          <w:rPr>
            <w:rStyle w:val="Hyperlink"/>
            <w:rFonts w:eastAsia="Times New Roman" w:cs="Arial"/>
            <w:lang w:eastAsia="en-AU"/>
          </w:rPr>
          <w:t>www.carbonmarketinstitute.org/wp-content/uploads/2017/11/Carbon-Farming-Industry-Roadmap.pdf</w:t>
        </w:r>
      </w:hyperlink>
      <w:r w:rsidR="00FB75B8">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01B53C7E"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Climate Change Authority (CCA) 2014</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Carbon Farming Initiative Review</w:t>
      </w:r>
      <w:r w:rsidRPr="005206CA">
        <w:rPr>
          <w:rFonts w:eastAsia="Times New Roman" w:cs="Arial"/>
          <w:color w:val="000000" w:themeColor="text1"/>
          <w:lang w:eastAsia="en-AU"/>
        </w:rPr>
        <w:t>, CCA, Melbourne.</w:t>
      </w:r>
    </w:p>
    <w:p w14:paraId="4DEB72A4"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CCA 2016</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Towards a Climate Policy Toolkit: Special Review of Australia's Climate Goals and Policies</w:t>
      </w:r>
      <w:r w:rsidRPr="005206CA">
        <w:rPr>
          <w:rFonts w:eastAsia="Times New Roman" w:cs="Arial"/>
          <w:color w:val="000000" w:themeColor="text1"/>
          <w:lang w:eastAsia="en-AU"/>
        </w:rPr>
        <w:t>, CCA, Melbourne.</w:t>
      </w:r>
    </w:p>
    <w:p w14:paraId="39736129" w14:textId="3275117E"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Clean Energy Regulator (CER) 2015a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Auction April 2015</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44" w:history="1">
        <w:r w:rsidR="0023118B" w:rsidRPr="00F77E27">
          <w:rPr>
            <w:rStyle w:val="Hyperlink"/>
            <w:rFonts w:eastAsia="Times New Roman" w:cs="Arial"/>
            <w:lang w:eastAsia="en-AU"/>
          </w:rPr>
          <w:t>www.cleanenergyregulator.gov.au/ERF/Auctions-results/april-2015</w:t>
        </w:r>
      </w:hyperlink>
      <w:r w:rsidR="0023118B">
        <w:rPr>
          <w:rFonts w:eastAsia="Times New Roman" w:cs="Arial"/>
          <w:color w:val="000000" w:themeColor="text1"/>
          <w:lang w:eastAsia="en-AU"/>
        </w:rPr>
        <w:t>.</w:t>
      </w:r>
    </w:p>
    <w:p w14:paraId="6D9D02A3" w14:textId="249BD009"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2015b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Auction November 2015</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45" w:history="1">
        <w:r w:rsidR="00946455" w:rsidRPr="00F77E27">
          <w:rPr>
            <w:rStyle w:val="Hyperlink"/>
            <w:rFonts w:eastAsia="Times New Roman" w:cs="Arial"/>
            <w:lang w:eastAsia="en-AU"/>
          </w:rPr>
          <w:t>www.cleanenergyregulator.gov.au/ERF/Auctions-results/November-2015</w:t>
        </w:r>
      </w:hyperlink>
      <w:r w:rsidR="0023118B">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4AA7E00E" w14:textId="5E1F68B0"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2015c</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Australian Carbon Credit Units</w:t>
      </w:r>
      <w:r w:rsidRPr="005206CA">
        <w:rPr>
          <w:rFonts w:eastAsia="Times New Roman" w:cs="Arial"/>
          <w:color w:val="000000" w:themeColor="text1"/>
          <w:lang w:eastAsia="en-AU"/>
        </w:rPr>
        <w:t>, CER, Canberra, viewed 7 June 2017,</w:t>
      </w:r>
      <w:r w:rsidRPr="005206CA">
        <w:rPr>
          <w:rFonts w:eastAsia="Times New Roman" w:cs="Arial"/>
          <w:color w:val="000000" w:themeColor="text1"/>
          <w:lang w:eastAsia="en-AU"/>
        </w:rPr>
        <w:br/>
      </w:r>
      <w:hyperlink r:id="rId46" w:history="1">
        <w:r w:rsidR="00946455" w:rsidRPr="00F77E27">
          <w:rPr>
            <w:rStyle w:val="Hyperlink"/>
            <w:rFonts w:eastAsia="Times New Roman" w:cs="Arial"/>
            <w:lang w:eastAsia="en-AU"/>
          </w:rPr>
          <w:t>www.cleanenergyregulator.gov.au/OSR/ANREU/types-of-emissions-units/australian-carbon-credit-units</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20F5D160"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2015d</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Emissions Reduction Fund: auction guidelines</w:t>
      </w:r>
      <w:r w:rsidRPr="005206CA">
        <w:rPr>
          <w:rFonts w:eastAsia="Times New Roman" w:cs="Arial"/>
          <w:color w:val="000000" w:themeColor="text1"/>
          <w:lang w:eastAsia="en-AU"/>
        </w:rPr>
        <w:t>, CER, Canberra.</w:t>
      </w:r>
    </w:p>
    <w:p w14:paraId="27BA1E91" w14:textId="17F6D500"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2015e</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Liable Entities Public Information Database</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47" w:history="1">
        <w:r w:rsidR="00946455" w:rsidRPr="00F77E27">
          <w:rPr>
            <w:rStyle w:val="Hyperlink"/>
            <w:rFonts w:eastAsia="Times New Roman" w:cs="Arial"/>
            <w:lang w:eastAsia="en-AU"/>
          </w:rPr>
          <w:t>www.cleanenergyregulator.gov.au/Infohub/CPM/Liable-Entities-Public-Information-Database</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225B170D" w14:textId="39A6B99B"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2015f</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New Emissions Reduction Fund auction rules released</w:t>
      </w:r>
      <w:r w:rsidRPr="005206CA">
        <w:rPr>
          <w:rFonts w:eastAsia="Times New Roman" w:cs="Arial"/>
          <w:color w:val="000000" w:themeColor="text1"/>
          <w:lang w:eastAsia="en-AU"/>
        </w:rPr>
        <w:t xml:space="preserve">, CER, Canberra, viewed 17 August 2017, </w:t>
      </w:r>
      <w:r w:rsidRPr="005206CA">
        <w:rPr>
          <w:rFonts w:eastAsia="Times New Roman" w:cs="Arial"/>
          <w:color w:val="000000" w:themeColor="text1"/>
          <w:lang w:eastAsia="en-AU"/>
        </w:rPr>
        <w:br/>
      </w:r>
      <w:hyperlink r:id="rId48" w:history="1">
        <w:r w:rsidR="00946455" w:rsidRPr="00F77E27">
          <w:rPr>
            <w:rStyle w:val="Hyperlink"/>
            <w:rFonts w:eastAsia="Times New Roman" w:cs="Arial"/>
            <w:lang w:eastAsia="en-AU"/>
          </w:rPr>
          <w:t>www.cleanenergyregulator.gov.au/ERF/Pages/News%20and%20updates/Newsitem.aspx?ListId=19b4efbb-6f5d-4637-94c4-121c1f96fcfe&amp;ItemId=159</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033F35A1" w14:textId="76FC6DFF"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2016a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Auction April 2016</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49" w:history="1">
        <w:r w:rsidR="00946455" w:rsidRPr="00F77E27">
          <w:rPr>
            <w:rStyle w:val="Hyperlink"/>
            <w:rFonts w:eastAsia="Times New Roman" w:cs="Arial"/>
            <w:lang w:eastAsia="en-AU"/>
          </w:rPr>
          <w:t>www.cleanenergyregulator.gov.au/ERF/Auctions-results/April-2016</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36F733BF" w14:textId="4E0F88ED"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2016b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Auction November 2016</w:t>
      </w:r>
      <w:r w:rsidRPr="005206CA">
        <w:rPr>
          <w:rFonts w:eastAsia="Times New Roman" w:cs="Arial"/>
          <w:color w:val="000000" w:themeColor="text1"/>
          <w:lang w:eastAsia="en-AU"/>
        </w:rPr>
        <w:t xml:space="preserve">, CER, Canbera, viewed 2 November 2017, </w:t>
      </w:r>
      <w:r w:rsidRPr="005206CA">
        <w:rPr>
          <w:rFonts w:eastAsia="Times New Roman" w:cs="Arial"/>
          <w:color w:val="000000" w:themeColor="text1"/>
          <w:lang w:eastAsia="en-AU"/>
        </w:rPr>
        <w:br/>
      </w:r>
      <w:hyperlink r:id="rId50" w:history="1">
        <w:r w:rsidR="004D5EC9" w:rsidRPr="005206CA">
          <w:rPr>
            <w:rStyle w:val="Hyperlink"/>
            <w:rFonts w:cs="Arial"/>
          </w:rPr>
          <w:t>www.cleanenergyregulator.gov.au/ERF/Auctions-results/November-2016</w:t>
        </w:r>
      </w:hyperlink>
      <w:r w:rsidR="00123DAE">
        <w:rPr>
          <w:rStyle w:val="Hyperlink"/>
          <w:rFonts w:cs="Arial"/>
        </w:rPr>
        <w:t>.</w:t>
      </w:r>
    </w:p>
    <w:p w14:paraId="51EBD4CB" w14:textId="0E8A1958" w:rsidR="00551C24" w:rsidRPr="00AC7279" w:rsidRDefault="00551C24" w:rsidP="00E55312">
      <w:pPr>
        <w:spacing w:line="240" w:lineRule="auto"/>
        <w:rPr>
          <w:rFonts w:eastAsia="Times New Roman" w:cs="Arial"/>
          <w:color w:val="000000"/>
          <w:lang w:eastAsia="en-AU"/>
        </w:rPr>
      </w:pPr>
      <w:r w:rsidRPr="005206CA">
        <w:rPr>
          <w:rFonts w:eastAsia="Times New Roman" w:cs="Arial"/>
          <w:b/>
          <w:bCs/>
          <w:color w:val="000000"/>
          <w:lang w:eastAsia="en-AU"/>
        </w:rPr>
        <w:t>CER 2016</w:t>
      </w:r>
      <w:r w:rsidR="00801BB7" w:rsidRPr="005206CA">
        <w:rPr>
          <w:rFonts w:eastAsia="Times New Roman" w:cs="Arial"/>
          <w:b/>
          <w:bCs/>
          <w:color w:val="000000"/>
          <w:lang w:eastAsia="en-AU"/>
        </w:rPr>
        <w:t>c</w:t>
      </w:r>
      <w:r w:rsidRPr="005206CA">
        <w:rPr>
          <w:rFonts w:eastAsia="Times New Roman" w:cs="Arial"/>
          <w:b/>
          <w:bCs/>
          <w:color w:val="000000"/>
          <w:lang w:eastAsia="en-AU"/>
        </w:rPr>
        <w:t xml:space="preserve">, </w:t>
      </w:r>
      <w:r w:rsidRPr="00AC7279">
        <w:rPr>
          <w:rFonts w:eastAsia="Times New Roman" w:cs="Arial"/>
          <w:i/>
          <w:color w:val="000000"/>
          <w:lang w:eastAsia="en-AU"/>
        </w:rPr>
        <w:t>Historical ACCU Data</w:t>
      </w:r>
      <w:r w:rsidRPr="00AC7279">
        <w:rPr>
          <w:rFonts w:eastAsia="Times New Roman" w:cs="Arial"/>
          <w:color w:val="000000"/>
          <w:lang w:eastAsia="en-AU"/>
        </w:rPr>
        <w:t>, CER, Canberra.</w:t>
      </w:r>
    </w:p>
    <w:p w14:paraId="31A8DA01" w14:textId="72212F37" w:rsidR="004D5EC9" w:rsidRPr="005206CA" w:rsidRDefault="004D5EC9" w:rsidP="00E55312">
      <w:pPr>
        <w:spacing w:line="240" w:lineRule="auto"/>
        <w:rPr>
          <w:rFonts w:eastAsia="Times New Roman" w:cs="Arial"/>
          <w:color w:val="000000"/>
          <w:lang w:eastAsia="en-AU"/>
        </w:rPr>
      </w:pPr>
      <w:r w:rsidRPr="005206CA">
        <w:rPr>
          <w:rFonts w:eastAsia="Times New Roman" w:cs="Arial"/>
          <w:b/>
          <w:bCs/>
          <w:color w:val="000000"/>
          <w:lang w:eastAsia="en-AU"/>
        </w:rPr>
        <w:t>CER 2016</w:t>
      </w:r>
      <w:r w:rsidR="00810B20" w:rsidRPr="005206CA">
        <w:rPr>
          <w:rFonts w:eastAsia="Times New Roman" w:cs="Arial"/>
          <w:b/>
          <w:bCs/>
          <w:color w:val="000000"/>
          <w:lang w:eastAsia="en-AU"/>
        </w:rPr>
        <w:t>d</w:t>
      </w:r>
      <w:r w:rsidRPr="005206CA">
        <w:rPr>
          <w:rFonts w:eastAsia="Times New Roman" w:cs="Arial"/>
          <w:color w:val="000000"/>
          <w:lang w:eastAsia="en-AU"/>
        </w:rPr>
        <w:t xml:space="preserve">, </w:t>
      </w:r>
      <w:r w:rsidRPr="005206CA">
        <w:rPr>
          <w:rFonts w:eastAsia="Times New Roman" w:cs="Arial"/>
          <w:i/>
          <w:iCs/>
          <w:color w:val="000000"/>
          <w:lang w:eastAsia="en-AU"/>
        </w:rPr>
        <w:t>Make sure your timing is right,</w:t>
      </w:r>
      <w:r w:rsidRPr="005206CA">
        <w:rPr>
          <w:rFonts w:eastAsia="Times New Roman" w:cs="Arial"/>
          <w:color w:val="000000"/>
          <w:lang w:eastAsia="en-AU"/>
        </w:rPr>
        <w:t xml:space="preserve"> CER, Canberra, viewed 8 November 2017, </w:t>
      </w:r>
      <w:r w:rsidRPr="005206CA">
        <w:rPr>
          <w:rFonts w:eastAsia="Times New Roman" w:cs="Arial"/>
          <w:color w:val="000000"/>
          <w:lang w:eastAsia="en-AU"/>
        </w:rPr>
        <w:br/>
      </w:r>
      <w:hyperlink r:id="rId51" w:history="1">
        <w:r w:rsidR="00946455" w:rsidRPr="00F77E27">
          <w:rPr>
            <w:rStyle w:val="Hyperlink"/>
            <w:rFonts w:eastAsia="Times New Roman" w:cs="Arial"/>
            <w:lang w:eastAsia="en-AU"/>
          </w:rPr>
          <w:t>www.cleanenergyregulator.gov.au/DocumentAssets/Documents/Make%20sure%20your%20timing%20is%20right%20information%20sheet.pdf</w:t>
        </w:r>
      </w:hyperlink>
      <w:r w:rsidR="00123DAE">
        <w:rPr>
          <w:rFonts w:eastAsia="Times New Roman" w:cs="Arial"/>
          <w:color w:val="000000"/>
          <w:lang w:eastAsia="en-AU"/>
        </w:rPr>
        <w:t>.</w:t>
      </w:r>
      <w:r w:rsidR="00946455">
        <w:rPr>
          <w:rFonts w:eastAsia="Times New Roman" w:cs="Arial"/>
          <w:color w:val="000000"/>
          <w:lang w:eastAsia="en-AU"/>
        </w:rPr>
        <w:t xml:space="preserve"> </w:t>
      </w:r>
    </w:p>
    <w:p w14:paraId="2E235E7D" w14:textId="4C7156C8"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2016</w:t>
      </w:r>
      <w:r w:rsidR="00642B36" w:rsidRPr="005206CA">
        <w:rPr>
          <w:rFonts w:eastAsia="Times New Roman" w:cs="Arial"/>
          <w:b/>
          <w:bCs/>
          <w:color w:val="000000" w:themeColor="text1"/>
          <w:lang w:eastAsia="en-AU"/>
        </w:rPr>
        <w:t>e</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Market sounding – direct abatement offers</w:t>
      </w:r>
      <w:r w:rsidRPr="005206CA">
        <w:rPr>
          <w:rFonts w:eastAsia="Times New Roman" w:cs="Arial"/>
          <w:color w:val="000000" w:themeColor="text1"/>
          <w:lang w:eastAsia="en-AU"/>
        </w:rPr>
        <w:t>, CER, Canberra, viewed 19 July 2017,</w:t>
      </w:r>
      <w:r w:rsidRPr="005206CA">
        <w:rPr>
          <w:rFonts w:eastAsia="Times New Roman" w:cs="Arial"/>
          <w:color w:val="000000" w:themeColor="text1"/>
          <w:lang w:eastAsia="en-AU"/>
        </w:rPr>
        <w:br/>
      </w:r>
      <w:hyperlink r:id="rId52" w:history="1">
        <w:r w:rsidR="00946455" w:rsidRPr="00F77E27">
          <w:rPr>
            <w:rStyle w:val="Hyperlink"/>
            <w:rFonts w:eastAsia="Times New Roman" w:cs="Arial"/>
            <w:lang w:eastAsia="en-AU"/>
          </w:rPr>
          <w:t>www.cleanenergyregulator.gov.au/ERF/Want-to-participate-in-the-Emissions-ReductionFund/Step-2-Contracts-and-auctions/market-sounding-direct-abatement-offers</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0DCC7250" w14:textId="6AE0EE7F"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2016</w:t>
      </w:r>
      <w:r w:rsidR="00CC545C" w:rsidRPr="005206CA">
        <w:rPr>
          <w:rFonts w:eastAsia="Times New Roman" w:cs="Arial"/>
          <w:b/>
          <w:bCs/>
          <w:color w:val="000000" w:themeColor="text1"/>
          <w:lang w:eastAsia="en-AU"/>
        </w:rPr>
        <w:t>f</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Regulatory additionality and government programs</w:t>
      </w:r>
      <w:r w:rsidRPr="005206CA">
        <w:rPr>
          <w:rFonts w:eastAsia="Times New Roman" w:cs="Arial"/>
          <w:color w:val="000000" w:themeColor="text1"/>
          <w:lang w:eastAsia="en-AU"/>
        </w:rPr>
        <w:t xml:space="preserve">, CER, Canberra, viewed 19 July 2017, </w:t>
      </w:r>
      <w:r w:rsidRPr="005206CA">
        <w:rPr>
          <w:rFonts w:eastAsia="Times New Roman" w:cs="Arial"/>
          <w:color w:val="000000" w:themeColor="text1"/>
          <w:lang w:eastAsia="en-AU"/>
        </w:rPr>
        <w:br/>
      </w:r>
      <w:hyperlink r:id="rId53" w:history="1">
        <w:r w:rsidR="00946455" w:rsidRPr="00F77E27">
          <w:rPr>
            <w:rStyle w:val="Hyperlink"/>
            <w:rFonts w:eastAsia="Times New Roman" w:cs="Arial"/>
            <w:lang w:eastAsia="en-AU"/>
          </w:rPr>
          <w:t>www.cleanenergyregulator.gov.au/ERF/Want-to-participate-in-the-EmissionsReduction-Fund/Planning-a-project/regulatory-additionality-and-government-programs</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2F1D5113" w14:textId="332229E4"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2017a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About the Renewable Energy Target</w:t>
      </w:r>
      <w:r w:rsidRPr="005206CA">
        <w:rPr>
          <w:rFonts w:eastAsia="Times New Roman" w:cs="Arial"/>
          <w:color w:val="000000" w:themeColor="text1"/>
          <w:lang w:eastAsia="en-AU"/>
        </w:rPr>
        <w:t>, CER, Canberra, viewed 3 November 2017,</w:t>
      </w:r>
      <w:r w:rsidRPr="005206CA">
        <w:rPr>
          <w:rFonts w:eastAsia="Times New Roman" w:cs="Arial"/>
          <w:color w:val="000000" w:themeColor="text1"/>
          <w:lang w:eastAsia="en-AU"/>
        </w:rPr>
        <w:br/>
      </w:r>
      <w:hyperlink r:id="rId54" w:history="1">
        <w:r w:rsidR="00946455" w:rsidRPr="00F77E27">
          <w:rPr>
            <w:rStyle w:val="Hyperlink"/>
            <w:rFonts w:eastAsia="Times New Roman" w:cs="Arial"/>
            <w:lang w:eastAsia="en-AU"/>
          </w:rPr>
          <w:t>www.cleanenergyregulator.gov.au/RET/About-the-Renewable-Energy-Target</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04660604" w14:textId="7E3B7E63"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2017b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Auction April 2017</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55" w:history="1">
        <w:r w:rsidR="00946455" w:rsidRPr="00F77E27">
          <w:rPr>
            <w:rStyle w:val="Hyperlink"/>
            <w:rFonts w:eastAsia="Times New Roman" w:cs="Arial"/>
            <w:lang w:eastAsia="en-AU"/>
          </w:rPr>
          <w:t>www.cleanenergyregulator.gov.au/ERF/Auctions-results/april-2017</w:t>
        </w:r>
      </w:hyperlink>
      <w:r w:rsidR="00123DA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0199692E" w14:textId="11B9FC6B"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2017c</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Audit determination handbook</w:t>
      </w:r>
      <w:r w:rsidRPr="005206CA">
        <w:rPr>
          <w:rFonts w:eastAsia="Times New Roman" w:cs="Arial"/>
          <w:color w:val="000000" w:themeColor="text1"/>
          <w:lang w:eastAsia="en-AU"/>
        </w:rPr>
        <w:t>, CER, Canberra</w:t>
      </w:r>
      <w:r w:rsidR="007A70E1" w:rsidRPr="005206CA">
        <w:rPr>
          <w:rFonts w:eastAsia="Times New Roman" w:cs="Arial"/>
          <w:color w:val="000000" w:themeColor="text1"/>
          <w:lang w:eastAsia="en-AU"/>
        </w:rPr>
        <w:t>.</w:t>
      </w:r>
    </w:p>
    <w:p w14:paraId="0ADBAEBA" w14:textId="565A4110" w:rsidR="00551C24" w:rsidRPr="005206CA" w:rsidRDefault="00551C24" w:rsidP="00551C24">
      <w:pPr>
        <w:spacing w:line="240" w:lineRule="auto"/>
        <w:rPr>
          <w:rFonts w:eastAsia="Times New Roman" w:cs="Arial"/>
          <w:color w:val="000000" w:themeColor="text1"/>
          <w:lang w:eastAsia="en-AU"/>
        </w:rPr>
      </w:pPr>
      <w:r w:rsidRPr="00AC7279">
        <w:rPr>
          <w:rFonts w:eastAsia="Times New Roman" w:cs="Arial"/>
          <w:b/>
          <w:color w:val="000000" w:themeColor="text1"/>
          <w:lang w:eastAsia="en-AU"/>
        </w:rPr>
        <w:t>CER 2017d</w:t>
      </w:r>
      <w:r w:rsidRPr="005206CA">
        <w:rPr>
          <w:rFonts w:eastAsia="Times New Roman" w:cs="Arial"/>
          <w:color w:val="000000" w:themeColor="text1"/>
          <w:lang w:eastAsia="en-AU"/>
        </w:rPr>
        <w:t>, personal communication, 20 October 2017</w:t>
      </w:r>
      <w:r w:rsidR="00123DAE">
        <w:rPr>
          <w:rFonts w:eastAsia="Times New Roman" w:cs="Arial"/>
          <w:color w:val="000000" w:themeColor="text1"/>
          <w:lang w:eastAsia="en-AU"/>
        </w:rPr>
        <w:t>.</w:t>
      </w:r>
    </w:p>
    <w:p w14:paraId="28CAD902" w14:textId="0BF44EC1" w:rsidR="00551C24" w:rsidRPr="005206CA" w:rsidRDefault="00551C24" w:rsidP="00551C24">
      <w:pPr>
        <w:spacing w:line="240" w:lineRule="auto"/>
        <w:rPr>
          <w:rFonts w:eastAsia="Times New Roman" w:cs="Arial"/>
          <w:color w:val="000000" w:themeColor="text1"/>
          <w:lang w:eastAsia="en-AU"/>
        </w:rPr>
      </w:pPr>
      <w:r w:rsidRPr="00AC7279">
        <w:rPr>
          <w:rFonts w:eastAsia="Times New Roman" w:cs="Arial"/>
          <w:b/>
          <w:color w:val="000000" w:themeColor="text1"/>
          <w:lang w:eastAsia="en-AU"/>
        </w:rPr>
        <w:t>CER 2017e</w:t>
      </w:r>
      <w:r w:rsidRPr="005206CA">
        <w:rPr>
          <w:rFonts w:eastAsia="Times New Roman" w:cs="Arial"/>
          <w:color w:val="000000" w:themeColor="text1"/>
          <w:lang w:eastAsia="en-AU"/>
        </w:rPr>
        <w:t>, personal communication, 10 November 2017</w:t>
      </w:r>
      <w:r w:rsidR="00123DAE">
        <w:rPr>
          <w:rFonts w:eastAsia="Times New Roman" w:cs="Arial"/>
          <w:color w:val="000000" w:themeColor="text1"/>
          <w:lang w:eastAsia="en-AU"/>
        </w:rPr>
        <w:t>.</w:t>
      </w:r>
    </w:p>
    <w:p w14:paraId="13DD2F17" w14:textId="1B09C692" w:rsidR="00551C24" w:rsidRPr="005206CA" w:rsidRDefault="00551C24" w:rsidP="00551C24">
      <w:pPr>
        <w:spacing w:line="240" w:lineRule="auto"/>
        <w:rPr>
          <w:rFonts w:eastAsia="Times New Roman" w:cs="Arial"/>
          <w:color w:val="000000" w:themeColor="text1"/>
          <w:lang w:eastAsia="en-AU"/>
        </w:rPr>
      </w:pPr>
      <w:r w:rsidRPr="00AC7279">
        <w:rPr>
          <w:rFonts w:eastAsia="Times New Roman" w:cs="Arial"/>
          <w:b/>
          <w:color w:val="000000" w:themeColor="text1"/>
          <w:lang w:eastAsia="en-AU"/>
        </w:rPr>
        <w:t>CER 2017f</w:t>
      </w:r>
      <w:r w:rsidRPr="005206CA">
        <w:rPr>
          <w:rFonts w:eastAsia="Times New Roman" w:cs="Arial"/>
          <w:color w:val="000000" w:themeColor="text1"/>
          <w:lang w:eastAsia="en-AU"/>
        </w:rPr>
        <w:t>, personal communication, 20 November 2017</w:t>
      </w:r>
      <w:r w:rsidR="00123DAE">
        <w:rPr>
          <w:rFonts w:eastAsia="Times New Roman" w:cs="Arial"/>
          <w:color w:val="000000" w:themeColor="text1"/>
          <w:lang w:eastAsia="en-AU"/>
        </w:rPr>
        <w:t>.</w:t>
      </w:r>
    </w:p>
    <w:p w14:paraId="4C71D86F" w14:textId="6509E034"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B4754E" w:rsidRPr="005206CA">
        <w:rPr>
          <w:rFonts w:eastAsia="Times New Roman" w:cs="Arial"/>
          <w:b/>
          <w:bCs/>
          <w:color w:val="000000" w:themeColor="text1"/>
          <w:lang w:eastAsia="en-AU"/>
        </w:rPr>
        <w:t>2017</w:t>
      </w:r>
      <w:r w:rsidR="00414A7B" w:rsidRPr="005206CA">
        <w:rPr>
          <w:rFonts w:eastAsia="Times New Roman" w:cs="Arial"/>
          <w:b/>
          <w:bCs/>
          <w:color w:val="000000" w:themeColor="text1"/>
          <w:lang w:eastAsia="en-AU"/>
        </w:rPr>
        <w:t>g</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Compliance priorities 2017</w:t>
      </w:r>
      <w:r w:rsidRPr="005206CA">
        <w:rPr>
          <w:rFonts w:eastAsia="Times New Roman" w:cs="Arial"/>
          <w:color w:val="000000" w:themeColor="text1"/>
          <w:lang w:eastAsia="en-AU"/>
        </w:rPr>
        <w:t>, CER, Canberra.</w:t>
      </w:r>
    </w:p>
    <w:p w14:paraId="35ACAE63" w14:textId="46EB1FC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4D401A" w:rsidRPr="005206CA">
        <w:rPr>
          <w:rFonts w:eastAsia="Times New Roman" w:cs="Arial"/>
          <w:b/>
          <w:bCs/>
          <w:color w:val="000000" w:themeColor="text1"/>
          <w:lang w:eastAsia="en-AU"/>
        </w:rPr>
        <w:t>2017h</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Compliance, education and enforcement policy</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56" w:history="1">
        <w:r w:rsidR="003E2234" w:rsidRPr="005206CA">
          <w:rPr>
            <w:rStyle w:val="Hyperlink"/>
            <w:rFonts w:cs="Arial"/>
          </w:rPr>
          <w:t>www.cleanenergyregulator.gov.au/About/Policies-and-publications/Compliance-educationand-enforcement-policy</w:t>
        </w:r>
      </w:hyperlink>
      <w:r w:rsidR="00CB1A6E">
        <w:rPr>
          <w:rStyle w:val="Hyperlink"/>
          <w:rFonts w:cs="Arial"/>
        </w:rPr>
        <w:t>.</w:t>
      </w:r>
    </w:p>
    <w:p w14:paraId="622E08B6" w14:textId="16086658" w:rsidR="003E2234" w:rsidRPr="005206CA" w:rsidRDefault="003E2234" w:rsidP="00CC39F9">
      <w:pPr>
        <w:spacing w:line="240" w:lineRule="auto"/>
        <w:rPr>
          <w:rFonts w:eastAsia="Times New Roman" w:cs="Arial"/>
          <w:color w:val="000000" w:themeColor="text1"/>
          <w:lang w:eastAsia="en-AU"/>
        </w:rPr>
      </w:pPr>
      <w:r w:rsidRPr="005206CA">
        <w:rPr>
          <w:rFonts w:eastAsia="Times New Roman" w:cs="Arial"/>
          <w:b/>
          <w:color w:val="000000" w:themeColor="text1"/>
          <w:lang w:eastAsia="en-AU"/>
        </w:rPr>
        <w:t xml:space="preserve">CER </w:t>
      </w:r>
      <w:r w:rsidR="00CC39F9" w:rsidRPr="005206CA">
        <w:rPr>
          <w:rFonts w:eastAsia="Times New Roman" w:cs="Arial"/>
          <w:b/>
          <w:color w:val="000000" w:themeColor="text1"/>
          <w:lang w:eastAsia="en-AU"/>
        </w:rPr>
        <w:t>2017i</w:t>
      </w:r>
      <w:r w:rsidRPr="005206CA">
        <w:rPr>
          <w:rFonts w:eastAsia="Times New Roman" w:cs="Arial"/>
          <w:b/>
          <w:color w:val="000000" w:themeColor="text1"/>
          <w:lang w:eastAsia="en-AU"/>
        </w:rPr>
        <w:t>,</w:t>
      </w:r>
      <w:r w:rsidRPr="005206CA">
        <w:rPr>
          <w:rFonts w:eastAsia="Times New Roman" w:cs="Arial"/>
          <w:color w:val="000000" w:themeColor="text1"/>
          <w:lang w:eastAsia="en-AU"/>
        </w:rPr>
        <w:t xml:space="preserve"> </w:t>
      </w:r>
      <w:r w:rsidR="00CC39F9" w:rsidRPr="00AC7279">
        <w:rPr>
          <w:rFonts w:eastAsia="Times New Roman" w:cs="Arial"/>
          <w:i/>
          <w:color w:val="000000" w:themeColor="text1"/>
          <w:lang w:eastAsia="en-AU"/>
        </w:rPr>
        <w:t>Conditions precedent</w:t>
      </w:r>
      <w:r w:rsidR="00CC39F9" w:rsidRPr="005206CA">
        <w:rPr>
          <w:rFonts w:eastAsia="Times New Roman" w:cs="Arial"/>
          <w:color w:val="000000" w:themeColor="text1"/>
          <w:lang w:eastAsia="en-AU"/>
        </w:rPr>
        <w:t>, CER, Canberra, viewed 4 December 2017,</w:t>
      </w:r>
      <w:r w:rsidR="004D401A" w:rsidRPr="005206CA">
        <w:rPr>
          <w:rFonts w:eastAsia="Times New Roman" w:cs="Arial"/>
          <w:color w:val="000000" w:themeColor="text1"/>
          <w:lang w:eastAsia="en-AU"/>
        </w:rPr>
        <w:br/>
      </w:r>
      <w:hyperlink r:id="rId57" w:history="1">
        <w:r w:rsidR="00946455" w:rsidRPr="00F77E27">
          <w:rPr>
            <w:rStyle w:val="Hyperlink"/>
            <w:rFonts w:eastAsia="Times New Roman" w:cs="Arial"/>
            <w:lang w:eastAsia="en-AU"/>
          </w:rPr>
          <w:t>www.cleanenergyregulator.gov.au/ERF/Want-to-participate-in-the-Emissions-Reduction-Fund/Step-2-Contracts-and-auctions/auction-qualification/conditions-precedent</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r w:rsidR="00CC39F9" w:rsidRPr="005206CA" w:rsidDel="00CC39F9">
        <w:rPr>
          <w:rFonts w:eastAsia="Times New Roman" w:cs="Arial"/>
          <w:i/>
          <w:color w:val="000000" w:themeColor="text1"/>
          <w:lang w:eastAsia="en-AU"/>
        </w:rPr>
        <w:t xml:space="preserve"> </w:t>
      </w:r>
    </w:p>
    <w:p w14:paraId="29A5CF4B" w14:textId="5B4AFEDB"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4D401A" w:rsidRPr="005206CA">
        <w:rPr>
          <w:rFonts w:eastAsia="Times New Roman" w:cs="Arial"/>
          <w:b/>
          <w:bCs/>
          <w:color w:val="000000" w:themeColor="text1"/>
          <w:lang w:eastAsia="en-AU"/>
        </w:rPr>
        <w:t>2017j</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Contract duration</w:t>
      </w:r>
      <w:r w:rsidRPr="005206CA">
        <w:rPr>
          <w:rFonts w:eastAsia="Times New Roman" w:cs="Arial"/>
          <w:color w:val="000000" w:themeColor="text1"/>
          <w:lang w:eastAsia="en-AU"/>
        </w:rPr>
        <w:t>, CER, Canberra, viewed 1 November 2017,</w:t>
      </w:r>
      <w:r w:rsidRPr="005206CA">
        <w:rPr>
          <w:rFonts w:eastAsia="Times New Roman" w:cs="Arial"/>
          <w:color w:val="000000" w:themeColor="text1"/>
          <w:lang w:eastAsia="en-AU"/>
        </w:rPr>
        <w:br/>
      </w:r>
      <w:hyperlink r:id="rId58" w:history="1">
        <w:r w:rsidR="00946455" w:rsidRPr="00F77E27">
          <w:rPr>
            <w:rStyle w:val="Hyperlink"/>
            <w:rFonts w:eastAsia="Times New Roman" w:cs="Arial"/>
            <w:lang w:eastAsia="en-AU"/>
          </w:rPr>
          <w:t>www.cleanenergyregulator.gov.au/ERF/Want-to-participate-in-the-Emissions-Reduction-Fund/Step-2-Contracts-and-auctions/contract-duration</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4C022ADE" w14:textId="671FFCEF"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4D401A" w:rsidRPr="005206CA">
        <w:rPr>
          <w:rFonts w:eastAsia="Times New Roman" w:cs="Arial"/>
          <w:b/>
          <w:bCs/>
          <w:color w:val="000000" w:themeColor="text1"/>
          <w:lang w:eastAsia="en-AU"/>
        </w:rPr>
        <w:t>2017k</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Contract register,</w:t>
      </w:r>
      <w:r w:rsidRPr="005206CA">
        <w:rPr>
          <w:rFonts w:eastAsia="Times New Roman" w:cs="Arial"/>
          <w:color w:val="000000" w:themeColor="text1"/>
          <w:lang w:eastAsia="en-AU"/>
        </w:rPr>
        <w:t xml:space="preserve"> CER, Canberra</w:t>
      </w:r>
      <w:r w:rsidR="00CB1A6E">
        <w:rPr>
          <w:rFonts w:eastAsia="Times New Roman" w:cs="Arial"/>
          <w:color w:val="000000" w:themeColor="text1"/>
          <w:lang w:eastAsia="en-AU"/>
        </w:rPr>
        <w:t>.</w:t>
      </w:r>
    </w:p>
    <w:p w14:paraId="1BEF2602" w14:textId="513753CF"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4D401A" w:rsidRPr="005206CA">
        <w:rPr>
          <w:rFonts w:eastAsia="Times New Roman" w:cs="Arial"/>
          <w:b/>
          <w:bCs/>
          <w:color w:val="000000" w:themeColor="text1"/>
          <w:lang w:eastAsia="en-AU"/>
        </w:rPr>
        <w:t>2017l</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 xml:space="preserve">Guidelines for sixth Emissions Reduction Fund auction on 6-7 December 2017, </w:t>
      </w:r>
      <w:r w:rsidRPr="005206CA">
        <w:rPr>
          <w:rFonts w:eastAsia="Times New Roman" w:cs="Arial"/>
          <w:color w:val="000000" w:themeColor="text1"/>
          <w:lang w:eastAsia="en-AU"/>
        </w:rPr>
        <w:t xml:space="preserve">CER, Canberra, viewed 2 November 2017, </w:t>
      </w:r>
      <w:r w:rsidRPr="005206CA">
        <w:rPr>
          <w:rFonts w:eastAsia="Times New Roman" w:cs="Arial"/>
          <w:color w:val="000000" w:themeColor="text1"/>
          <w:lang w:eastAsia="en-AU"/>
        </w:rPr>
        <w:br/>
      </w:r>
      <w:hyperlink r:id="rId59" w:history="1">
        <w:r w:rsidR="00414A7B" w:rsidRPr="005206CA">
          <w:rPr>
            <w:rStyle w:val="Hyperlink"/>
            <w:rFonts w:eastAsia="Times New Roman" w:cs="Arial"/>
            <w:lang w:eastAsia="en-AU"/>
          </w:rPr>
          <w:t>www.cleanenergyregulator.gov.au/DocumentAssets/Documents/Guidelines%20for%20the%20sixth%20ERF%20auction.pdf</w:t>
        </w:r>
      </w:hyperlink>
      <w:r w:rsidR="00CB1A6E">
        <w:rPr>
          <w:rStyle w:val="Hyperlink"/>
          <w:rFonts w:eastAsia="Times New Roman" w:cs="Arial"/>
          <w:lang w:eastAsia="en-AU"/>
        </w:rPr>
        <w:t>.</w:t>
      </w:r>
    </w:p>
    <w:p w14:paraId="0D9723BC" w14:textId="488E9F5B" w:rsidR="00F84772" w:rsidRPr="005206CA" w:rsidRDefault="00F84772" w:rsidP="00F84772">
      <w:r w:rsidRPr="005206CA">
        <w:rPr>
          <w:b/>
        </w:rPr>
        <w:t>CER 2017m</w:t>
      </w:r>
      <w:r w:rsidRPr="005206CA">
        <w:rPr>
          <w:i/>
        </w:rPr>
        <w:t>, Interim posture—crediting native forest from managed regrowth and human induced regeneration projects</w:t>
      </w:r>
      <w:r w:rsidRPr="005206CA">
        <w:t xml:space="preserve">, viewed 5 December 2017, CER, Canberra, </w:t>
      </w:r>
      <w:hyperlink r:id="rId60" w:history="1">
        <w:r w:rsidRPr="005206CA">
          <w:rPr>
            <w:rStyle w:val="Hyperlink"/>
          </w:rPr>
          <w:t>www.cleanenergyregulator.gov.au/DocumentAssets/Documents/Interim%20posture%20on%20crediting%20for%20NFMR%20and%20HIR%20projects.pdf</w:t>
        </w:r>
      </w:hyperlink>
      <w:r w:rsidR="00CB1A6E">
        <w:rPr>
          <w:rStyle w:val="Hyperlink"/>
        </w:rPr>
        <w:t>.</w:t>
      </w:r>
    </w:p>
    <w:p w14:paraId="4F361AEC" w14:textId="5297171F"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CER </w:t>
      </w:r>
      <w:r w:rsidR="004D401A" w:rsidRPr="005206CA">
        <w:rPr>
          <w:rFonts w:eastAsia="Times New Roman" w:cs="Arial"/>
          <w:b/>
          <w:bCs/>
          <w:color w:val="000000" w:themeColor="text1"/>
          <w:lang w:eastAsia="en-AU"/>
        </w:rPr>
        <w:t>2017</w:t>
      </w:r>
      <w:r w:rsidR="00414A7B" w:rsidRPr="005206CA">
        <w:rPr>
          <w:rFonts w:eastAsia="Times New Roman" w:cs="Arial"/>
          <w:b/>
          <w:bCs/>
          <w:color w:val="000000" w:themeColor="text1"/>
          <w:lang w:eastAsia="en-AU"/>
        </w:rPr>
        <w:t>n</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Project register</w:t>
      </w:r>
      <w:r w:rsidRPr="005206CA">
        <w:rPr>
          <w:rFonts w:eastAsia="Times New Roman" w:cs="Arial"/>
          <w:color w:val="000000" w:themeColor="text1"/>
          <w:lang w:eastAsia="en-AU"/>
        </w:rPr>
        <w:t>, CER, Canberra.</w:t>
      </w:r>
    </w:p>
    <w:p w14:paraId="5ED7AD88" w14:textId="7F0FA810"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CER n.d.</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Australian National Registry of Emissions Units</w:t>
      </w:r>
      <w:r w:rsidRPr="005206CA">
        <w:rPr>
          <w:rFonts w:eastAsia="Times New Roman" w:cs="Arial"/>
          <w:color w:val="000000" w:themeColor="text1"/>
          <w:lang w:eastAsia="en-AU"/>
        </w:rPr>
        <w:t xml:space="preserve">, CER, Canberra, viewed 2 November 2017, </w:t>
      </w:r>
      <w:r w:rsidRPr="005206CA">
        <w:rPr>
          <w:rFonts w:eastAsia="Times New Roman" w:cs="Arial"/>
          <w:color w:val="000000" w:themeColor="text1"/>
          <w:lang w:eastAsia="en-AU"/>
        </w:rPr>
        <w:br/>
      </w:r>
      <w:hyperlink r:id="rId61" w:history="1">
        <w:r w:rsidR="00946455" w:rsidRPr="00F77E27">
          <w:rPr>
            <w:rStyle w:val="Hyperlink"/>
            <w:rFonts w:eastAsia="Times New Roman" w:cs="Arial"/>
            <w:lang w:eastAsia="en-AU"/>
          </w:rPr>
          <w:t>www.nationalregistry.cleanenergyregulator.gov.au</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217CEC10" w14:textId="4D8F44FD"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ClimateWorks Australia 2010</w:t>
      </w:r>
      <w:r w:rsidRPr="005206CA">
        <w:rPr>
          <w:rFonts w:eastAsia="Times New Roman" w:cs="Arial"/>
          <w:color w:val="000000" w:themeColor="text1"/>
          <w:lang w:eastAsia="en-AU"/>
        </w:rPr>
        <w:t>,</w:t>
      </w:r>
      <w:r w:rsidRPr="005206CA">
        <w:rPr>
          <w:rFonts w:eastAsia="Times New Roman" w:cs="Arial"/>
          <w:i/>
          <w:iCs/>
          <w:color w:val="000000" w:themeColor="text1"/>
          <w:lang w:eastAsia="en-AU"/>
        </w:rPr>
        <w:t xml:space="preserve"> Low Carbon Growth Plan for Australia</w:t>
      </w:r>
      <w:r w:rsidRPr="005206CA">
        <w:rPr>
          <w:rFonts w:eastAsia="Times New Roman" w:cs="Arial"/>
          <w:color w:val="000000" w:themeColor="text1"/>
          <w:lang w:eastAsia="en-AU"/>
        </w:rPr>
        <w:t>, ClimateWorks Australia, Melbourne.</w:t>
      </w:r>
    </w:p>
    <w:p w14:paraId="6F8EA422" w14:textId="02989E92" w:rsidR="009533CA" w:rsidRPr="005206CA" w:rsidRDefault="009533CA" w:rsidP="009533CA">
      <w:pPr>
        <w:spacing w:line="240" w:lineRule="auto"/>
        <w:rPr>
          <w:rFonts w:eastAsia="Times New Roman" w:cs="Arial"/>
          <w:color w:val="000000" w:themeColor="text1"/>
          <w:lang w:eastAsia="en-AU"/>
        </w:rPr>
      </w:pPr>
      <w:r w:rsidRPr="00AC7279">
        <w:rPr>
          <w:rFonts w:eastAsia="Times New Roman" w:cs="Arial"/>
          <w:b/>
          <w:color w:val="000000" w:themeColor="text1"/>
          <w:lang w:eastAsia="en-AU"/>
        </w:rPr>
        <w:t>CottonInfo 2015</w:t>
      </w:r>
      <w:r w:rsidRPr="005206CA">
        <w:rPr>
          <w:rFonts w:eastAsia="Times New Roman" w:cs="Arial"/>
          <w:color w:val="000000" w:themeColor="text1"/>
          <w:lang w:eastAsia="en-AU"/>
        </w:rPr>
        <w:t xml:space="preserve">, </w:t>
      </w:r>
      <w:r w:rsidRPr="00AC7279">
        <w:rPr>
          <w:rFonts w:eastAsia="Times New Roman" w:cs="Arial"/>
          <w:i/>
          <w:color w:val="000000" w:themeColor="text1"/>
          <w:lang w:eastAsia="en-AU"/>
        </w:rPr>
        <w:t>Carbon case study: investigating carbon farming in the Macquarie, CottonInfo</w:t>
      </w:r>
      <w:r w:rsidRPr="005206CA">
        <w:rPr>
          <w:rFonts w:eastAsia="Times New Roman" w:cs="Arial"/>
          <w:color w:val="000000" w:themeColor="text1"/>
          <w:lang w:eastAsia="en-AU"/>
        </w:rPr>
        <w:t>,</w:t>
      </w:r>
      <w:r w:rsidR="00ED1B77" w:rsidRPr="005206CA">
        <w:rPr>
          <w:rFonts w:eastAsia="Times New Roman" w:cs="Arial"/>
          <w:color w:val="000000" w:themeColor="text1"/>
          <w:lang w:eastAsia="en-AU"/>
        </w:rPr>
        <w:t xml:space="preserve"> CottonInfo, Australia, </w:t>
      </w:r>
      <w:r w:rsidRPr="005206CA">
        <w:rPr>
          <w:rFonts w:eastAsia="Times New Roman" w:cs="Arial"/>
          <w:color w:val="000000" w:themeColor="text1"/>
          <w:lang w:eastAsia="en-AU"/>
        </w:rPr>
        <w:t xml:space="preserve">viewed 5 December 2017, </w:t>
      </w:r>
      <w:hyperlink r:id="rId62" w:history="1">
        <w:r w:rsidR="00946455" w:rsidRPr="00F77E27">
          <w:rPr>
            <w:rStyle w:val="Hyperlink"/>
            <w:rFonts w:eastAsia="Times New Roman" w:cs="Arial"/>
            <w:lang w:eastAsia="en-AU"/>
          </w:rPr>
          <w:t>www.cottoninfo.com.au/sites/default/files/documents/Carbon%20farming%20case%20study.pdf</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20B0D215"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Department of Climate Change and Energy Efficiency (DCCEE) 2012</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Analysis of Compliance Costs for a National Energy Savings Initiative Final Report for the Department of Climate Change and Energy Efficiency</w:t>
      </w:r>
      <w:r w:rsidRPr="005206CA">
        <w:rPr>
          <w:rFonts w:eastAsia="Times New Roman" w:cs="Arial"/>
          <w:color w:val="000000" w:themeColor="text1"/>
          <w:lang w:eastAsia="en-AU"/>
        </w:rPr>
        <w:t xml:space="preserve">, prepared by NERA Economic Consulting and Oakley Greenwood, Sydney and Aspley. </w:t>
      </w:r>
    </w:p>
    <w:p w14:paraId="03EAB47C" w14:textId="7242A133"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Department of </w:t>
      </w:r>
      <w:r w:rsidR="00C53D01" w:rsidRPr="005206CA">
        <w:rPr>
          <w:rFonts w:eastAsia="Times New Roman" w:cs="Arial"/>
          <w:b/>
          <w:bCs/>
          <w:color w:val="000000" w:themeColor="text1"/>
          <w:lang w:eastAsia="en-AU"/>
        </w:rPr>
        <w:t xml:space="preserve">the </w:t>
      </w:r>
      <w:r w:rsidRPr="005206CA">
        <w:rPr>
          <w:rFonts w:eastAsia="Times New Roman" w:cs="Arial"/>
          <w:b/>
          <w:bCs/>
          <w:color w:val="000000" w:themeColor="text1"/>
          <w:lang w:eastAsia="en-AU"/>
        </w:rPr>
        <w:t>Environment (DoE) 2015</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Emissions Reduction Fund – Methodology Determination Guidelines January 2015</w:t>
      </w:r>
      <w:r w:rsidRPr="005206CA">
        <w:rPr>
          <w:rFonts w:eastAsia="Times New Roman" w:cs="Arial"/>
          <w:color w:val="000000" w:themeColor="text1"/>
          <w:lang w:eastAsia="en-AU"/>
        </w:rPr>
        <w:t xml:space="preserve">, DoE, Canberra. </w:t>
      </w:r>
    </w:p>
    <w:p w14:paraId="1E08D69A" w14:textId="036B840D" w:rsidR="005836C7" w:rsidRPr="005206CA" w:rsidRDefault="005836C7" w:rsidP="00E55312">
      <w:pPr>
        <w:spacing w:line="240" w:lineRule="auto"/>
        <w:rPr>
          <w:rFonts w:eastAsia="Times New Roman" w:cs="Arial"/>
          <w:color w:val="000000" w:themeColor="text1"/>
          <w:lang w:eastAsia="en-AU"/>
        </w:rPr>
      </w:pPr>
      <w:r w:rsidRPr="005206CA">
        <w:rPr>
          <w:rFonts w:eastAsia="Times New Roman" w:cs="Arial"/>
          <w:b/>
          <w:color w:val="000000" w:themeColor="text1"/>
          <w:lang w:eastAsia="en-AU"/>
        </w:rPr>
        <w:t>DoE n.d.</w:t>
      </w:r>
      <w:r w:rsidRPr="005206CA">
        <w:rPr>
          <w:rFonts w:eastAsia="Times New Roman" w:cs="Arial"/>
          <w:color w:val="000000" w:themeColor="text1"/>
          <w:lang w:eastAsia="en-AU"/>
        </w:rPr>
        <w:t xml:space="preserve">, </w:t>
      </w:r>
      <w:r w:rsidRPr="005206CA">
        <w:rPr>
          <w:rFonts w:eastAsia="Times New Roman" w:cs="Arial"/>
          <w:i/>
          <w:color w:val="000000" w:themeColor="text1"/>
          <w:lang w:eastAsia="en-AU"/>
        </w:rPr>
        <w:t>Weeds of National Significance</w:t>
      </w:r>
      <w:r w:rsidRPr="005206CA">
        <w:rPr>
          <w:rFonts w:eastAsia="Times New Roman" w:cs="Arial"/>
          <w:color w:val="000000" w:themeColor="text1"/>
          <w:lang w:eastAsia="en-AU"/>
        </w:rPr>
        <w:t xml:space="preserve">, DoE, Canberra, viewed 4 December 2017, </w:t>
      </w:r>
      <w:hyperlink r:id="rId63" w:history="1">
        <w:r w:rsidR="00946455" w:rsidRPr="00F77E27">
          <w:rPr>
            <w:rStyle w:val="Hyperlink"/>
            <w:rFonts w:eastAsia="Times New Roman" w:cs="Arial"/>
            <w:lang w:eastAsia="en-AU"/>
          </w:rPr>
          <w:t>www.environment.gov.au/biodiversity/invasive/weeds/weeds/lists/wons.html</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p>
    <w:p w14:paraId="40100DE9"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Department of Environment and Heritage Protection (EHP)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Unlocking value for the Queensland economy with land and agriculture offsets</w:t>
      </w:r>
      <w:r w:rsidRPr="005206CA">
        <w:rPr>
          <w:rFonts w:eastAsia="Times New Roman" w:cs="Arial"/>
          <w:color w:val="000000" w:themeColor="text1"/>
          <w:lang w:eastAsia="en-AU"/>
        </w:rPr>
        <w:t>, prepared by Energetics, Sydney.</w:t>
      </w:r>
    </w:p>
    <w:p w14:paraId="68B96660" w14:textId="065C4C31"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Department of Industry, Innovation, Climate Change, Science, Research and Tertiary Education (DOIICCSRTE) 2013</w:t>
      </w:r>
      <w:r w:rsidRPr="005206CA">
        <w:rPr>
          <w:rFonts w:eastAsia="Times New Roman" w:cs="Arial"/>
          <w:color w:val="000000" w:themeColor="text1"/>
          <w:lang w:eastAsia="en-AU"/>
        </w:rPr>
        <w:t xml:space="preserve">, </w:t>
      </w:r>
      <w:r w:rsidR="00CF13B8" w:rsidRPr="00CF13B8">
        <w:rPr>
          <w:rFonts w:eastAsia="Times New Roman" w:cs="Arial"/>
          <w:i/>
          <w:iCs/>
          <w:color w:val="000000" w:themeColor="text1"/>
          <w:lang w:eastAsia="en-AU"/>
        </w:rPr>
        <w:t xml:space="preserve">Carbon Farming Initiative Guidelines for Calculating Regulatory Baselines for Legacy Waste Landfill Methane Projects, </w:t>
      </w:r>
      <w:r w:rsidR="00CF13B8" w:rsidRPr="00CF13B8">
        <w:rPr>
          <w:rFonts w:eastAsia="Times New Roman" w:cs="Arial"/>
          <w:iCs/>
          <w:color w:val="000000" w:themeColor="text1"/>
          <w:lang w:eastAsia="en-AU"/>
        </w:rPr>
        <w:t>DoEE, Canberra, viewed 6 December</w:t>
      </w:r>
      <w:r w:rsidR="00CF13B8">
        <w:rPr>
          <w:rFonts w:eastAsia="Times New Roman" w:cs="Arial"/>
          <w:iCs/>
          <w:color w:val="000000" w:themeColor="text1"/>
          <w:lang w:eastAsia="en-AU"/>
        </w:rPr>
        <w:t xml:space="preserve"> 2017,</w:t>
      </w:r>
      <w:r w:rsidR="00CF13B8" w:rsidRPr="00CF13B8">
        <w:rPr>
          <w:rFonts w:eastAsia="Times New Roman" w:cs="Arial"/>
          <w:iCs/>
          <w:color w:val="000000" w:themeColor="text1"/>
          <w:lang w:eastAsia="en-AU"/>
        </w:rPr>
        <w:t xml:space="preserve"> </w:t>
      </w:r>
      <w:hyperlink r:id="rId64" w:history="1">
        <w:r w:rsidR="00946455" w:rsidRPr="00F77E27">
          <w:rPr>
            <w:rStyle w:val="Hyperlink"/>
            <w:rFonts w:eastAsia="Times New Roman" w:cs="Arial"/>
            <w:iCs/>
            <w:lang w:eastAsia="en-AU"/>
          </w:rPr>
          <w:t>www.environment.gov.au/system/files/resources/c4762a93-bde4-444e-9980-f508460472cd/files/regulatory-baseline-guidelines.pdf</w:t>
        </w:r>
      </w:hyperlink>
      <w:r w:rsidR="00CB1A6E">
        <w:rPr>
          <w:rFonts w:eastAsia="Times New Roman" w:cs="Arial"/>
          <w:iCs/>
          <w:color w:val="000000" w:themeColor="text1"/>
          <w:lang w:eastAsia="en-AU"/>
        </w:rPr>
        <w:t>.</w:t>
      </w:r>
      <w:r w:rsidR="00946455">
        <w:rPr>
          <w:rFonts w:eastAsia="Times New Roman" w:cs="Arial"/>
          <w:iCs/>
          <w:color w:val="000000" w:themeColor="text1"/>
          <w:lang w:eastAsia="en-AU"/>
        </w:rPr>
        <w:t xml:space="preserve"> </w:t>
      </w:r>
    </w:p>
    <w:p w14:paraId="3F86EF85" w14:textId="692C0213"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Department of the Prime Minister and Cabinet (DPMC) 2017</w:t>
      </w:r>
      <w:r w:rsidRPr="005206CA">
        <w:rPr>
          <w:rFonts w:eastAsia="Times New Roman" w:cs="Arial"/>
          <w:color w:val="000000" w:themeColor="text1"/>
          <w:lang w:eastAsia="en-AU"/>
        </w:rPr>
        <w:t xml:space="preserve">, </w:t>
      </w:r>
      <w:r w:rsidRPr="008921E6">
        <w:rPr>
          <w:rFonts w:eastAsia="Times New Roman" w:cs="Arial"/>
          <w:i/>
          <w:color w:val="000000" w:themeColor="text1"/>
          <w:lang w:eastAsia="en-AU"/>
        </w:rPr>
        <w:t>Environment</w:t>
      </w:r>
      <w:r w:rsidRPr="005206CA">
        <w:rPr>
          <w:rFonts w:eastAsia="Times New Roman" w:cs="Arial"/>
          <w:color w:val="000000" w:themeColor="text1"/>
          <w:lang w:eastAsia="en-AU"/>
        </w:rPr>
        <w:t>, DPMC, Canberra, viewed 19 July 2017,</w:t>
      </w:r>
      <w:r w:rsidRPr="005206CA">
        <w:rPr>
          <w:rFonts w:eastAsia="Times New Roman" w:cs="Arial"/>
          <w:color w:val="000000" w:themeColor="text1"/>
          <w:lang w:eastAsia="en-AU"/>
        </w:rPr>
        <w:br/>
      </w:r>
      <w:hyperlink r:id="rId65" w:history="1">
        <w:r w:rsidR="00946455" w:rsidRPr="00F77E27">
          <w:rPr>
            <w:rStyle w:val="Hyperlink"/>
            <w:rFonts w:eastAsia="Times New Roman" w:cs="Arial"/>
            <w:lang w:eastAsia="en-AU"/>
          </w:rPr>
          <w:t>www.pmc.gov.au/indigenous-affairs/environment</w:t>
        </w:r>
      </w:hyperlink>
      <w:r w:rsidR="00CB1A6E">
        <w:rPr>
          <w:rFonts w:eastAsia="Times New Roman" w:cs="Arial"/>
          <w:color w:val="000000" w:themeColor="text1"/>
          <w:lang w:eastAsia="en-AU"/>
        </w:rPr>
        <w:t>.</w:t>
      </w:r>
      <w:r w:rsidR="00946455">
        <w:rPr>
          <w:rFonts w:eastAsia="Times New Roman" w:cs="Arial"/>
          <w:color w:val="000000" w:themeColor="text1"/>
          <w:lang w:eastAsia="en-AU"/>
        </w:rPr>
        <w:t xml:space="preserve"> </w:t>
      </w:r>
      <w:r w:rsidRPr="005206CA">
        <w:rPr>
          <w:rFonts w:eastAsia="Times New Roman" w:cs="Arial"/>
          <w:color w:val="000000" w:themeColor="text1"/>
          <w:lang w:eastAsia="en-AU"/>
        </w:rPr>
        <w:t xml:space="preserve"> </w:t>
      </w:r>
    </w:p>
    <w:p w14:paraId="304E3C04" w14:textId="3DDD5096" w:rsidR="00551C24" w:rsidRPr="00AC7279" w:rsidRDefault="00551C24"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 xml:space="preserve">Department of the Environment and Energy (DoEE) 2016a, </w:t>
      </w:r>
      <w:r w:rsidRPr="00AC7279">
        <w:rPr>
          <w:rFonts w:eastAsia="Times New Roman" w:cs="Arial"/>
          <w:i/>
          <w:color w:val="000000" w:themeColor="text1"/>
          <w:lang w:eastAsia="en-AU"/>
        </w:rPr>
        <w:t>Australia's emissions projections 2016</w:t>
      </w:r>
      <w:r w:rsidRPr="00AC7279">
        <w:rPr>
          <w:rFonts w:eastAsia="Times New Roman" w:cs="Arial"/>
          <w:color w:val="000000" w:themeColor="text1"/>
          <w:lang w:eastAsia="en-AU"/>
        </w:rPr>
        <w:t>, DoEE, Canberra.</w:t>
      </w:r>
    </w:p>
    <w:p w14:paraId="64AB4097" w14:textId="35C2BDCA" w:rsidR="00E870DB" w:rsidRPr="005206CA" w:rsidRDefault="00E870DB" w:rsidP="00E55312">
      <w:pPr>
        <w:spacing w:line="240" w:lineRule="auto"/>
        <w:rPr>
          <w:rFonts w:eastAsia="Times New Roman" w:cs="Arial"/>
          <w:color w:val="000000" w:themeColor="text1"/>
          <w:lang w:eastAsia="en-AU"/>
        </w:rPr>
      </w:pPr>
      <w:r w:rsidRPr="007E0199">
        <w:rPr>
          <w:rFonts w:eastAsia="Times New Roman" w:cs="Arial"/>
          <w:b/>
          <w:bCs/>
          <w:color w:val="000000" w:themeColor="text1"/>
          <w:lang w:eastAsia="en-AU"/>
        </w:rPr>
        <w:t xml:space="preserve">DoEE </w:t>
      </w:r>
      <w:r w:rsidR="00551C24" w:rsidRPr="007E0199">
        <w:rPr>
          <w:rFonts w:eastAsia="Times New Roman" w:cs="Arial"/>
          <w:b/>
          <w:bCs/>
          <w:color w:val="000000" w:themeColor="text1"/>
          <w:lang w:eastAsia="en-AU"/>
        </w:rPr>
        <w:t>2016b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Modelling and analysis of Australia’s abatement opportunities: Meeting Australia’s 2030 emissions reduction target</w:t>
      </w:r>
      <w:r w:rsidRPr="005206CA">
        <w:rPr>
          <w:rFonts w:eastAsia="Times New Roman" w:cs="Arial"/>
          <w:color w:val="000000" w:themeColor="text1"/>
          <w:lang w:eastAsia="en-AU"/>
        </w:rPr>
        <w:t>, prepared by Energetics, Sydney.</w:t>
      </w:r>
    </w:p>
    <w:p w14:paraId="4CFAFB64" w14:textId="0AF7AD2D" w:rsidR="00E870DB" w:rsidRPr="005206CA" w:rsidRDefault="00E870DB" w:rsidP="00E55312">
      <w:pPr>
        <w:spacing w:line="240" w:lineRule="auto"/>
        <w:rPr>
          <w:rFonts w:eastAsia="Times New Roman" w:cs="Arial"/>
          <w:color w:val="000000" w:themeColor="text1"/>
          <w:lang w:eastAsia="en-AU"/>
        </w:rPr>
      </w:pPr>
      <w:r w:rsidRPr="007E0199">
        <w:rPr>
          <w:rFonts w:eastAsia="Times New Roman" w:cs="Arial"/>
          <w:b/>
          <w:bCs/>
          <w:color w:val="000000" w:themeColor="text1"/>
          <w:lang w:eastAsia="en-AU"/>
        </w:rPr>
        <w:t xml:space="preserve">DoEE </w:t>
      </w:r>
      <w:r w:rsidR="00551C24" w:rsidRPr="007E0199">
        <w:rPr>
          <w:rFonts w:eastAsia="Times New Roman" w:cs="Arial"/>
          <w:b/>
          <w:bCs/>
          <w:color w:val="000000" w:themeColor="text1"/>
          <w:lang w:eastAsia="en-AU"/>
        </w:rPr>
        <w:t>2016c</w:t>
      </w:r>
      <w:r w:rsidRPr="005206CA">
        <w:rPr>
          <w:rFonts w:eastAsia="Times New Roman" w:cs="Arial"/>
          <w:color w:val="000000" w:themeColor="text1"/>
          <w:lang w:eastAsia="en-AU"/>
        </w:rPr>
        <w:t>,</w:t>
      </w:r>
      <w:r w:rsidRPr="005206CA">
        <w:rPr>
          <w:rFonts w:eastAsia="Times New Roman" w:cs="Arial"/>
          <w:i/>
          <w:iCs/>
          <w:color w:val="000000" w:themeColor="text1"/>
          <w:lang w:eastAsia="en-AU"/>
        </w:rPr>
        <w:t xml:space="preserve"> Review of Australia's climate change policies</w:t>
      </w:r>
      <w:r w:rsidRPr="005206CA">
        <w:rPr>
          <w:rFonts w:eastAsia="Times New Roman" w:cs="Arial"/>
          <w:color w:val="000000" w:themeColor="text1"/>
          <w:lang w:eastAsia="en-AU"/>
        </w:rPr>
        <w:t>, DoEE, Canberra, viewed 8 August</w:t>
      </w:r>
      <w:r w:rsidR="00BE1554" w:rsidRPr="005206CA">
        <w:rPr>
          <w:rFonts w:eastAsia="Times New Roman" w:cs="Arial"/>
          <w:color w:val="000000" w:themeColor="text1"/>
          <w:lang w:eastAsia="en-AU"/>
        </w:rPr>
        <w:t xml:space="preserve"> </w:t>
      </w:r>
      <w:r w:rsidRPr="005206CA">
        <w:rPr>
          <w:rFonts w:eastAsia="Times New Roman" w:cs="Arial"/>
          <w:color w:val="000000" w:themeColor="text1"/>
          <w:lang w:eastAsia="en-AU"/>
        </w:rPr>
        <w:t>2017,</w:t>
      </w:r>
      <w:r w:rsidRPr="005206CA">
        <w:rPr>
          <w:rFonts w:eastAsia="Times New Roman" w:cs="Arial"/>
          <w:color w:val="000000" w:themeColor="text1"/>
          <w:lang w:eastAsia="en-AU"/>
        </w:rPr>
        <w:br/>
      </w:r>
      <w:hyperlink r:id="rId66" w:history="1">
        <w:r w:rsidR="00D3603D" w:rsidRPr="00F77E27">
          <w:rPr>
            <w:rStyle w:val="Hyperlink"/>
            <w:rFonts w:eastAsia="Times New Roman" w:cs="Arial"/>
            <w:lang w:eastAsia="en-AU"/>
          </w:rPr>
          <w:t>www.environment.gov.au/climate-change/review-climate-change-policies</w:t>
        </w:r>
      </w:hyperlink>
      <w:r w:rsidR="00CB1A6E">
        <w:rPr>
          <w:rFonts w:eastAsia="Times New Roman" w:cs="Arial"/>
          <w:color w:val="000000" w:themeColor="text1"/>
          <w:lang w:eastAsia="en-AU"/>
        </w:rPr>
        <w:t>.</w:t>
      </w:r>
      <w:r w:rsidR="00D3603D">
        <w:rPr>
          <w:rFonts w:eastAsia="Times New Roman" w:cs="Arial"/>
          <w:color w:val="000000" w:themeColor="text1"/>
          <w:lang w:eastAsia="en-AU"/>
        </w:rPr>
        <w:t xml:space="preserve"> </w:t>
      </w:r>
    </w:p>
    <w:p w14:paraId="073F15A5" w14:textId="4E264D99"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2017</w:t>
      </w:r>
      <w:r w:rsidR="000E0B14" w:rsidRPr="005206CA">
        <w:rPr>
          <w:rFonts w:eastAsia="Times New Roman" w:cs="Arial"/>
          <w:b/>
          <w:bCs/>
          <w:color w:val="000000" w:themeColor="text1"/>
          <w:lang w:eastAsia="en-AU"/>
        </w:rPr>
        <w:t>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A better energy future for Australia</w:t>
      </w:r>
      <w:r w:rsidRPr="005206CA">
        <w:rPr>
          <w:rFonts w:eastAsia="Times New Roman" w:cs="Arial"/>
          <w:color w:val="000000" w:themeColor="text1"/>
          <w:lang w:eastAsia="en-AU"/>
        </w:rPr>
        <w:t xml:space="preserve">, DoEE, Canberra, viewed 2 November 2017, </w:t>
      </w:r>
      <w:r w:rsidRPr="005206CA">
        <w:rPr>
          <w:rFonts w:eastAsia="Times New Roman" w:cs="Arial"/>
          <w:color w:val="000000" w:themeColor="text1"/>
          <w:lang w:eastAsia="en-AU"/>
        </w:rPr>
        <w:br/>
      </w:r>
      <w:hyperlink r:id="rId67" w:history="1">
        <w:r w:rsidR="00D3603D" w:rsidRPr="00F77E27">
          <w:rPr>
            <w:rStyle w:val="Hyperlink"/>
            <w:rFonts w:eastAsia="Times New Roman" w:cs="Arial"/>
            <w:lang w:eastAsia="en-AU"/>
          </w:rPr>
          <w:t>www.energy.gov.au/government-priorities/better-energy-future-australia</w:t>
        </w:r>
      </w:hyperlink>
      <w:r w:rsidR="00CB1A6E">
        <w:rPr>
          <w:rFonts w:eastAsia="Times New Roman" w:cs="Arial"/>
          <w:color w:val="000000" w:themeColor="text1"/>
          <w:lang w:eastAsia="en-AU"/>
        </w:rPr>
        <w:t>.</w:t>
      </w:r>
      <w:r w:rsidR="00D3603D">
        <w:rPr>
          <w:rFonts w:eastAsia="Times New Roman" w:cs="Arial"/>
          <w:color w:val="000000" w:themeColor="text1"/>
          <w:lang w:eastAsia="en-AU"/>
        </w:rPr>
        <w:t xml:space="preserve"> </w:t>
      </w:r>
    </w:p>
    <w:p w14:paraId="30A180F6" w14:textId="718479A3"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2017</w:t>
      </w:r>
      <w:r w:rsidR="000E0B14" w:rsidRPr="005206CA">
        <w:rPr>
          <w:rFonts w:eastAsia="Times New Roman" w:cs="Arial"/>
          <w:b/>
          <w:bCs/>
          <w:color w:val="000000" w:themeColor="text1"/>
          <w:lang w:eastAsia="en-AU"/>
        </w:rPr>
        <w:t>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Buildings and precints to go carbon neutral</w:t>
      </w:r>
      <w:r w:rsidRPr="005206CA">
        <w:rPr>
          <w:rFonts w:eastAsia="Times New Roman" w:cs="Arial"/>
          <w:color w:val="000000" w:themeColor="text1"/>
          <w:lang w:eastAsia="en-AU"/>
        </w:rPr>
        <w:t xml:space="preserve">, Media release 9 October 2017, viewed 2 November 2017, </w:t>
      </w:r>
      <w:r w:rsidRPr="005206CA">
        <w:rPr>
          <w:rFonts w:eastAsia="Times New Roman" w:cs="Arial"/>
          <w:color w:val="000000" w:themeColor="text1"/>
          <w:lang w:eastAsia="en-AU"/>
        </w:rPr>
        <w:br/>
      </w:r>
      <w:hyperlink r:id="rId68" w:history="1">
        <w:r w:rsidR="000E0B14" w:rsidRPr="005206CA">
          <w:rPr>
            <w:rStyle w:val="Hyperlink"/>
            <w:rFonts w:eastAsia="Times New Roman" w:cs="Arial"/>
            <w:lang w:eastAsia="en-AU"/>
          </w:rPr>
          <w:t>www.environment.gov.au/minister/frydenberg/media-releases/mr20171009.html</w:t>
        </w:r>
      </w:hyperlink>
      <w:r w:rsidRPr="005206CA">
        <w:rPr>
          <w:rFonts w:eastAsia="Times New Roman" w:cs="Arial"/>
          <w:color w:val="000000" w:themeColor="text1"/>
          <w:lang w:eastAsia="en-AU"/>
        </w:rPr>
        <w:t>.</w:t>
      </w:r>
    </w:p>
    <w:p w14:paraId="460ED616" w14:textId="5E0B2B0B" w:rsidR="00A70729" w:rsidRPr="005206CA" w:rsidRDefault="00A70729" w:rsidP="00A70729">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2017c</w:t>
      </w:r>
      <w:r w:rsidRPr="005206CA">
        <w:rPr>
          <w:rFonts w:eastAsia="Times New Roman" w:cs="Arial"/>
          <w:color w:val="000000" w:themeColor="text1"/>
          <w:lang w:eastAsia="en-AU"/>
        </w:rPr>
        <w:t>, personal communication, 25 October 2017</w:t>
      </w:r>
      <w:r w:rsidR="00CB1A6E">
        <w:rPr>
          <w:rFonts w:eastAsia="Times New Roman" w:cs="Arial"/>
          <w:color w:val="000000" w:themeColor="text1"/>
          <w:lang w:eastAsia="en-AU"/>
        </w:rPr>
        <w:t>.</w:t>
      </w:r>
    </w:p>
    <w:p w14:paraId="502B731F" w14:textId="1DE2FA53" w:rsidR="000E0B14" w:rsidRPr="005206CA" w:rsidRDefault="000E0B14" w:rsidP="00E55312">
      <w:pPr>
        <w:spacing w:line="240" w:lineRule="auto"/>
        <w:rPr>
          <w:rFonts w:eastAsia="Times New Roman" w:cs="Arial"/>
          <w:color w:val="000000" w:themeColor="text1"/>
          <w:lang w:eastAsia="en-AU"/>
        </w:rPr>
      </w:pPr>
      <w:r w:rsidRPr="005206CA">
        <w:rPr>
          <w:rFonts w:eastAsia="Times New Roman" w:cs="Arial"/>
          <w:b/>
          <w:color w:val="000000" w:themeColor="text1"/>
          <w:lang w:eastAsia="en-AU"/>
        </w:rPr>
        <w:t>DoEE 2017</w:t>
      </w:r>
      <w:r w:rsidR="00A70729" w:rsidRPr="005206CA">
        <w:rPr>
          <w:rFonts w:eastAsia="Times New Roman" w:cs="Arial"/>
          <w:b/>
          <w:color w:val="000000" w:themeColor="text1"/>
          <w:lang w:eastAsia="en-AU"/>
        </w:rPr>
        <w:t>d</w:t>
      </w:r>
      <w:r w:rsidRPr="005206CA">
        <w:rPr>
          <w:rFonts w:eastAsia="Times New Roman" w:cs="Arial"/>
          <w:color w:val="000000" w:themeColor="text1"/>
          <w:lang w:eastAsia="en-AU"/>
        </w:rPr>
        <w:t xml:space="preserve">, </w:t>
      </w:r>
      <w:r w:rsidRPr="007653D5">
        <w:rPr>
          <w:rFonts w:eastAsia="Times New Roman" w:cs="Arial"/>
          <w:i/>
          <w:color w:val="000000" w:themeColor="text1"/>
          <w:lang w:eastAsia="en-AU"/>
        </w:rPr>
        <w:t>Emissions Reduction Fund methods: Draft method determinations, viewed 5 December 2017</w:t>
      </w:r>
      <w:r w:rsidRPr="005206CA">
        <w:rPr>
          <w:rFonts w:eastAsia="Times New Roman" w:cs="Arial"/>
          <w:color w:val="000000" w:themeColor="text1"/>
          <w:lang w:eastAsia="en-AU"/>
        </w:rPr>
        <w:t xml:space="preserve">, DoEE, Canberra, </w:t>
      </w:r>
      <w:r w:rsidR="00D3603D">
        <w:rPr>
          <w:rFonts w:eastAsia="Times New Roman" w:cs="Arial"/>
          <w:color w:val="000000" w:themeColor="text1"/>
          <w:lang w:eastAsia="en-AU"/>
        </w:rPr>
        <w:br/>
      </w:r>
      <w:hyperlink r:id="rId69" w:history="1">
        <w:r w:rsidR="00D3603D" w:rsidRPr="00F77E27">
          <w:rPr>
            <w:rStyle w:val="Hyperlink"/>
            <w:rFonts w:eastAsia="Times New Roman" w:cs="Arial"/>
            <w:lang w:eastAsia="en-AU"/>
          </w:rPr>
          <w:t>www.environment.gov.au/climate-change/government/emissions-reduction-fund/methods/draft-methods</w:t>
        </w:r>
      </w:hyperlink>
      <w:r w:rsidR="00CB1A6E">
        <w:rPr>
          <w:rFonts w:eastAsia="Times New Roman" w:cs="Arial"/>
          <w:color w:val="000000" w:themeColor="text1"/>
          <w:lang w:eastAsia="en-AU"/>
        </w:rPr>
        <w:t>.</w:t>
      </w:r>
      <w:r w:rsidR="00D3603D">
        <w:rPr>
          <w:rFonts w:eastAsia="Times New Roman" w:cs="Arial"/>
          <w:color w:val="000000" w:themeColor="text1"/>
          <w:lang w:eastAsia="en-AU"/>
        </w:rPr>
        <w:t xml:space="preserve"> </w:t>
      </w:r>
    </w:p>
    <w:p w14:paraId="487AE8CD" w14:textId="55B9241A"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2017</w:t>
      </w:r>
      <w:r w:rsidR="00A70729" w:rsidRPr="005206CA">
        <w:rPr>
          <w:rFonts w:eastAsia="Times New Roman" w:cs="Arial"/>
          <w:b/>
          <w:bCs/>
          <w:color w:val="000000" w:themeColor="text1"/>
          <w:lang w:eastAsia="en-AU"/>
        </w:rPr>
        <w:t>e</w:t>
      </w:r>
      <w:r w:rsidRPr="005206CA">
        <w:rPr>
          <w:rFonts w:eastAsia="Times New Roman" w:cs="Arial"/>
          <w:color w:val="000000" w:themeColor="text1"/>
          <w:lang w:eastAsia="en-AU"/>
        </w:rPr>
        <w:t>, Internal analysis based on annual company reports required under the Carbon</w:t>
      </w:r>
      <w:r w:rsidRPr="005206CA">
        <w:rPr>
          <w:rFonts w:eastAsia="Times New Roman" w:cs="Arial"/>
          <w:color w:val="000000" w:themeColor="text1"/>
          <w:lang w:eastAsia="en-AU"/>
        </w:rPr>
        <w:br/>
        <w:t>Neutral Program</w:t>
      </w:r>
      <w:r w:rsidR="00CB1A6E">
        <w:rPr>
          <w:rFonts w:eastAsia="Times New Roman" w:cs="Arial"/>
          <w:color w:val="000000" w:themeColor="text1"/>
          <w:lang w:eastAsia="en-AU"/>
        </w:rPr>
        <w:t>.</w:t>
      </w:r>
    </w:p>
    <w:p w14:paraId="1439CA42" w14:textId="25573D12" w:rsidR="0015108C" w:rsidRPr="005206CA" w:rsidRDefault="0015108C" w:rsidP="00E55312">
      <w:pPr>
        <w:spacing w:line="240" w:lineRule="auto"/>
        <w:rPr>
          <w:rFonts w:eastAsia="Times New Roman" w:cs="Arial"/>
          <w:b/>
          <w:bCs/>
          <w:color w:val="000000" w:themeColor="text1"/>
          <w:lang w:eastAsia="en-AU"/>
        </w:rPr>
      </w:pPr>
      <w:r w:rsidRPr="005206CA">
        <w:rPr>
          <w:rFonts w:eastAsia="Times New Roman" w:cs="Arial"/>
          <w:b/>
          <w:bCs/>
          <w:color w:val="000000" w:themeColor="text1"/>
          <w:lang w:eastAsia="en-AU"/>
        </w:rPr>
        <w:t>DoEE 2017</w:t>
      </w:r>
      <w:r w:rsidR="00A70729" w:rsidRPr="005206CA">
        <w:rPr>
          <w:rFonts w:eastAsia="Times New Roman" w:cs="Arial"/>
          <w:b/>
          <w:bCs/>
          <w:color w:val="000000" w:themeColor="text1"/>
          <w:lang w:eastAsia="en-AU"/>
        </w:rPr>
        <w:t>f</w:t>
      </w:r>
      <w:r w:rsidRPr="005206CA">
        <w:rPr>
          <w:rFonts w:eastAsia="Times New Roman" w:cs="Arial"/>
          <w:bCs/>
          <w:color w:val="000000" w:themeColor="text1"/>
          <w:lang w:eastAsia="en-AU"/>
        </w:rPr>
        <w:t>,</w:t>
      </w:r>
      <w:r w:rsidRPr="005206CA">
        <w:rPr>
          <w:rFonts w:eastAsia="Times New Roman" w:cs="Arial"/>
          <w:i/>
          <w:iCs/>
          <w:color w:val="000000" w:themeColor="text1"/>
          <w:lang w:eastAsia="en-AU"/>
        </w:rPr>
        <w:t xml:space="preserve"> National Inventory Report 2015 Volume 1</w:t>
      </w:r>
      <w:r w:rsidRPr="005206CA">
        <w:rPr>
          <w:rFonts w:eastAsia="Times New Roman" w:cs="Arial"/>
          <w:color w:val="000000" w:themeColor="text1"/>
          <w:lang w:eastAsia="en-AU"/>
        </w:rPr>
        <w:t>, DoEE, Canberra.</w:t>
      </w:r>
    </w:p>
    <w:p w14:paraId="4A59BCC1" w14:textId="541AE813" w:rsidR="0015108C" w:rsidRPr="005206CA" w:rsidRDefault="0015108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2017</w:t>
      </w:r>
      <w:r w:rsidR="00A70729" w:rsidRPr="005206CA">
        <w:rPr>
          <w:rFonts w:eastAsia="Times New Roman" w:cs="Arial"/>
          <w:b/>
          <w:bCs/>
          <w:color w:val="000000" w:themeColor="text1"/>
          <w:lang w:eastAsia="en-AU"/>
        </w:rPr>
        <w:t>g</w:t>
      </w:r>
      <w:r w:rsidRPr="005206CA">
        <w:rPr>
          <w:rFonts w:eastAsia="Times New Roman" w:cs="Arial"/>
          <w:bCs/>
          <w:color w:val="000000" w:themeColor="text1"/>
          <w:lang w:eastAsia="en-AU"/>
        </w:rPr>
        <w:t>,</w:t>
      </w:r>
      <w:r w:rsidRPr="005206CA">
        <w:rPr>
          <w:rFonts w:eastAsia="Times New Roman" w:cs="Arial"/>
          <w:i/>
          <w:iCs/>
          <w:color w:val="000000" w:themeColor="text1"/>
          <w:lang w:eastAsia="en-AU"/>
        </w:rPr>
        <w:t xml:space="preserve"> National Inventory Report 2015 Volume 2</w:t>
      </w:r>
      <w:r w:rsidRPr="005206CA">
        <w:rPr>
          <w:rFonts w:eastAsia="Times New Roman" w:cs="Arial"/>
          <w:color w:val="000000" w:themeColor="text1"/>
          <w:lang w:eastAsia="en-AU"/>
        </w:rPr>
        <w:t>, DoEE, Canberra.</w:t>
      </w:r>
    </w:p>
    <w:p w14:paraId="62AD3ABD" w14:textId="4C918B1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w:t>
      </w:r>
      <w:r w:rsidR="00732A72">
        <w:rPr>
          <w:rFonts w:eastAsia="Times New Roman" w:cs="Arial"/>
          <w:b/>
          <w:bCs/>
          <w:color w:val="000000" w:themeColor="text1"/>
          <w:lang w:eastAsia="en-AU"/>
        </w:rPr>
        <w:t>o</w:t>
      </w:r>
      <w:r w:rsidRPr="005206CA">
        <w:rPr>
          <w:rFonts w:eastAsia="Times New Roman" w:cs="Arial"/>
          <w:b/>
          <w:bCs/>
          <w:color w:val="000000" w:themeColor="text1"/>
          <w:lang w:eastAsia="en-AU"/>
        </w:rPr>
        <w:t>EE n.d.a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Emissions Reduction Fund aggregation agreement</w:t>
      </w:r>
      <w:r w:rsidRPr="005206CA">
        <w:rPr>
          <w:rFonts w:eastAsia="Times New Roman" w:cs="Arial"/>
          <w:color w:val="000000" w:themeColor="text1"/>
          <w:lang w:eastAsia="en-AU"/>
        </w:rPr>
        <w:t>s, D</w:t>
      </w:r>
      <w:r w:rsidR="00732A72">
        <w:rPr>
          <w:rFonts w:eastAsia="Times New Roman" w:cs="Arial"/>
          <w:color w:val="000000" w:themeColor="text1"/>
          <w:lang w:eastAsia="en-AU"/>
        </w:rPr>
        <w:t>o</w:t>
      </w:r>
      <w:r w:rsidRPr="005206CA">
        <w:rPr>
          <w:rFonts w:eastAsia="Times New Roman" w:cs="Arial"/>
          <w:color w:val="000000" w:themeColor="text1"/>
          <w:lang w:eastAsia="en-AU"/>
        </w:rPr>
        <w:t xml:space="preserve">EE, Canberra, viewed 1 November 2017, </w:t>
      </w:r>
      <w:r w:rsidRPr="005206CA">
        <w:rPr>
          <w:rFonts w:eastAsia="Times New Roman" w:cs="Arial"/>
          <w:color w:val="000000" w:themeColor="text1"/>
          <w:lang w:eastAsia="en-AU"/>
        </w:rPr>
        <w:br/>
      </w:r>
      <w:hyperlink r:id="rId70" w:history="1">
        <w:r w:rsidR="00A93D71" w:rsidRPr="00F77E27">
          <w:rPr>
            <w:rStyle w:val="Hyperlink"/>
            <w:rFonts w:eastAsia="Times New Roman" w:cs="Arial"/>
            <w:lang w:eastAsia="en-AU"/>
          </w:rPr>
          <w:t>www.environment.gov.au/climate-change/government/emissions-reduction-fund/aggregation-agreement</w:t>
        </w:r>
      </w:hyperlink>
      <w:r w:rsidR="00CB1A6E">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015D3BC5" w14:textId="2C9BE88E"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n.d.b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Emissions reduction fund methods</w:t>
      </w:r>
      <w:r w:rsidRPr="005206CA">
        <w:rPr>
          <w:rFonts w:eastAsia="Times New Roman" w:cs="Arial"/>
          <w:color w:val="000000" w:themeColor="text1"/>
          <w:lang w:eastAsia="en-AU"/>
        </w:rPr>
        <w:t>, DoEE, Canberra, viewed 19 November 2017,</w:t>
      </w:r>
      <w:r w:rsidRPr="005206CA">
        <w:rPr>
          <w:rFonts w:eastAsia="Times New Roman" w:cs="Arial"/>
          <w:color w:val="000000" w:themeColor="text1"/>
          <w:lang w:eastAsia="en-AU"/>
        </w:rPr>
        <w:br/>
      </w:r>
      <w:hyperlink r:id="rId71" w:history="1">
        <w:r w:rsidR="00A93D71" w:rsidRPr="00F77E27">
          <w:rPr>
            <w:rStyle w:val="Hyperlink"/>
            <w:rFonts w:eastAsia="Times New Roman" w:cs="Arial"/>
            <w:lang w:eastAsia="en-AU"/>
          </w:rPr>
          <w:t>www.environment.gov.au/climate-change/emissions-reduction-fund/methods/method-development</w:t>
        </w:r>
      </w:hyperlink>
      <w:r w:rsidR="00CB1A6E">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20645962" w14:textId="26F42160"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DoEE n.d</w:t>
      </w:r>
      <w:r w:rsidRPr="00732A72">
        <w:rPr>
          <w:rFonts w:eastAsia="Times New Roman" w:cs="Arial"/>
          <w:b/>
          <w:color w:val="000000" w:themeColor="text1"/>
          <w:lang w:eastAsia="en-AU"/>
        </w:rPr>
        <w:t>.c</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Plantation Forestry</w:t>
      </w:r>
      <w:r w:rsidRPr="005206CA">
        <w:rPr>
          <w:rFonts w:eastAsia="Times New Roman" w:cs="Arial"/>
          <w:color w:val="000000" w:themeColor="text1"/>
          <w:lang w:eastAsia="en-AU"/>
        </w:rPr>
        <w:t xml:space="preserve">, DoEE, Canberra, viewed 1 November 2017, </w:t>
      </w:r>
      <w:r w:rsidRPr="005206CA">
        <w:rPr>
          <w:rFonts w:eastAsia="Times New Roman" w:cs="Arial"/>
          <w:color w:val="000000" w:themeColor="text1"/>
          <w:lang w:eastAsia="en-AU"/>
        </w:rPr>
        <w:br/>
      </w:r>
      <w:hyperlink r:id="rId72" w:history="1">
        <w:r w:rsidR="00A93D71" w:rsidRPr="00F77E27">
          <w:rPr>
            <w:rStyle w:val="Hyperlink"/>
            <w:rFonts w:eastAsia="Times New Roman" w:cs="Arial"/>
            <w:lang w:eastAsia="en-AU"/>
          </w:rPr>
          <w:t>www.environment.gov.au/climate-change/government/emissions-reduction-fund/methods/plantation-forestry</w:t>
        </w:r>
      </w:hyperlink>
      <w:r w:rsidR="00CB1A6E">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55BEEEB0"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Ecosystem Marketplace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Unlocking Potential: State of the voluntary carbon markets 2017</w:t>
      </w:r>
      <w:r w:rsidRPr="005206CA">
        <w:rPr>
          <w:rFonts w:eastAsia="Times New Roman" w:cs="Arial"/>
          <w:color w:val="000000" w:themeColor="text1"/>
          <w:lang w:eastAsia="en-AU"/>
        </w:rPr>
        <w:t>, Forest Trends, Washington D.C.</w:t>
      </w:r>
    </w:p>
    <w:p w14:paraId="2374487C" w14:textId="5ABB5310" w:rsidR="00764AC2" w:rsidRPr="005206CA" w:rsidRDefault="00764AC2" w:rsidP="00E55312">
      <w:pPr>
        <w:spacing w:line="240" w:lineRule="auto"/>
        <w:rPr>
          <w:rFonts w:eastAsia="Times New Roman" w:cs="Arial"/>
          <w:color w:val="000000" w:themeColor="text1"/>
          <w:lang w:eastAsia="en-AU"/>
        </w:rPr>
      </w:pPr>
      <w:r w:rsidRPr="00AC7279">
        <w:rPr>
          <w:rFonts w:eastAsia="Times New Roman" w:cs="Arial"/>
          <w:b/>
          <w:color w:val="000000" w:themeColor="text1"/>
          <w:lang w:eastAsia="en-AU"/>
        </w:rPr>
        <w:t>Evans, M &amp; Macintosh, A,</w:t>
      </w:r>
      <w:r w:rsidRPr="005206CA">
        <w:rPr>
          <w:rFonts w:eastAsia="Times New Roman" w:cs="Arial"/>
          <w:color w:val="000000" w:themeColor="text1"/>
          <w:lang w:eastAsia="en-AU"/>
        </w:rPr>
        <w:t xml:space="preserve"> unpublished analysis</w:t>
      </w:r>
      <w:r w:rsidR="0021051F">
        <w:rPr>
          <w:rFonts w:eastAsia="Times New Roman" w:cs="Arial"/>
          <w:color w:val="000000" w:themeColor="text1"/>
          <w:lang w:eastAsia="en-AU"/>
        </w:rPr>
        <w:t xml:space="preserve"> using data from </w:t>
      </w:r>
      <w:r w:rsidRPr="005206CA">
        <w:rPr>
          <w:rFonts w:eastAsia="Times New Roman" w:cs="Arial"/>
          <w:color w:val="000000" w:themeColor="text1"/>
          <w:lang w:eastAsia="en-AU"/>
        </w:rPr>
        <w:t>Australian Department of the Environment, 2015. Human Induced Forest Extent &amp; Change (version 11). Canberra.</w:t>
      </w:r>
    </w:p>
    <w:p w14:paraId="468066CE" w14:textId="77777777" w:rsidR="00E870DB" w:rsidRPr="005206CA" w:rsidRDefault="00E870DB" w:rsidP="00E55312">
      <w:pPr>
        <w:spacing w:line="240" w:lineRule="auto"/>
        <w:rPr>
          <w:rFonts w:eastAsia="Times New Roman" w:cs="Arial"/>
          <w:color w:val="000000" w:themeColor="text1"/>
          <w:lang w:eastAsia="en-AU"/>
        </w:rPr>
      </w:pPr>
      <w:r w:rsidRPr="005206CA">
        <w:rPr>
          <w:rFonts w:eastAsia="Times New Roman" w:cs="Arial"/>
          <w:color w:val="000000" w:themeColor="text1"/>
          <w:lang w:eastAsia="en-AU"/>
        </w:rPr>
        <w:t>Explanatory Memorandum, Carbon Credits (Carbon Farming Initiative) Amendment Bill 2014 (Cth).</w:t>
      </w:r>
    </w:p>
    <w:p w14:paraId="0DB919FA" w14:textId="77777777"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Finkel, A, Moses, K, Munro, C,Effeney, T &amp; O’Kane, M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Independent Review into the Future Security of the National Electricity Market: Blueprint for the Future</w:t>
      </w:r>
      <w:r w:rsidRPr="005206CA">
        <w:rPr>
          <w:rFonts w:eastAsia="Times New Roman" w:cs="Arial"/>
          <w:color w:val="000000" w:themeColor="text1"/>
          <w:lang w:eastAsia="en-AU"/>
        </w:rPr>
        <w:t>, DoEE, Canberra.</w:t>
      </w:r>
    </w:p>
    <w:p w14:paraId="16587F86" w14:textId="28860A47"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GGAS n.d</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GGAS and ESS registry</w:t>
      </w:r>
      <w:r w:rsidRPr="005206CA">
        <w:rPr>
          <w:rFonts w:eastAsia="Times New Roman" w:cs="Arial"/>
          <w:color w:val="000000" w:themeColor="text1"/>
          <w:lang w:eastAsia="en-AU"/>
        </w:rPr>
        <w:t>, GGAS, Sydney, viewed 29 November 2017,</w:t>
      </w:r>
      <w:r w:rsidRPr="005206CA">
        <w:rPr>
          <w:rFonts w:eastAsia="Times New Roman" w:cs="Arial"/>
          <w:color w:val="000000" w:themeColor="text1"/>
          <w:lang w:eastAsia="en-AU"/>
        </w:rPr>
        <w:br/>
      </w:r>
      <w:hyperlink r:id="rId73" w:history="1">
        <w:r w:rsidR="00A93D71" w:rsidRPr="00F77E27">
          <w:rPr>
            <w:rStyle w:val="Hyperlink"/>
            <w:rFonts w:eastAsia="Times New Roman" w:cs="Arial"/>
            <w:lang w:eastAsia="en-AU"/>
          </w:rPr>
          <w:t>www.ggas-registry.nsw.gov.au/general/MainPage.aspx</w:t>
        </w:r>
      </w:hyperlink>
      <w:r w:rsidR="00CB1A6E">
        <w:rPr>
          <w:rFonts w:eastAsia="Times New Roman" w:cs="Arial"/>
          <w:color w:val="000000" w:themeColor="text1"/>
          <w:lang w:eastAsia="en-AU"/>
        </w:rPr>
        <w:t>.</w:t>
      </w:r>
      <w:r w:rsidR="00A93D71">
        <w:rPr>
          <w:rFonts w:eastAsia="Times New Roman" w:cs="Arial"/>
          <w:color w:val="000000" w:themeColor="text1"/>
          <w:lang w:eastAsia="en-AU"/>
        </w:rPr>
        <w:t xml:space="preserve"> </w:t>
      </w:r>
      <w:r w:rsidRPr="005206CA">
        <w:rPr>
          <w:rFonts w:eastAsia="Times New Roman" w:cs="Arial"/>
          <w:color w:val="000000" w:themeColor="text1"/>
          <w:lang w:eastAsia="en-AU"/>
        </w:rPr>
        <w:t xml:space="preserve"> </w:t>
      </w:r>
    </w:p>
    <w:p w14:paraId="54862248" w14:textId="77777777"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Gold Standard 2017</w:t>
      </w:r>
      <w:r w:rsidRPr="005206CA">
        <w:rPr>
          <w:rFonts w:eastAsia="Times New Roman" w:cs="Arial"/>
          <w:color w:val="000000" w:themeColor="text1"/>
          <w:lang w:eastAsia="en-AU"/>
        </w:rPr>
        <w:t xml:space="preserve">, </w:t>
      </w:r>
      <w:r w:rsidRPr="001563DF">
        <w:rPr>
          <w:rFonts w:eastAsia="Times New Roman" w:cs="Arial"/>
          <w:i/>
          <w:color w:val="000000" w:themeColor="text1"/>
          <w:lang w:eastAsia="en-AU"/>
        </w:rPr>
        <w:t>Annual Review 2016</w:t>
      </w:r>
      <w:r w:rsidRPr="005206CA">
        <w:rPr>
          <w:rFonts w:eastAsia="Times New Roman" w:cs="Arial"/>
          <w:color w:val="000000" w:themeColor="text1"/>
          <w:lang w:eastAsia="en-AU"/>
        </w:rPr>
        <w:t>, Gold Standard, Geneva.</w:t>
      </w:r>
    </w:p>
    <w:p w14:paraId="27A883D4" w14:textId="77777777"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Griscom, BW, Adams, J, Ellis, PW, Houghton, RA, Lomax, G, Miteva, DA, Schlesinger, WH, Shoch, D, Siikamäki, JV, Smith,P, Woodbury, P, Zganjar, C, Blackman, A, Campari, J, Conant, RT, Delgado, C, Elias, P, Gopalakrishna, T, Hamsik, MR, Herrero, M, Kiesecker, J, Landis, E, Laestadius, L, Leavitt, SM, Minnemeyer, S, Polasky, S, Potapov, P, Putz, FE, Sanderman, J, Silvius, M, Wollenberg, E and Fargione, J 2017</w:t>
      </w:r>
      <w:r w:rsidRPr="005206CA">
        <w:rPr>
          <w:rFonts w:eastAsia="Times New Roman" w:cs="Arial"/>
          <w:color w:val="000000" w:themeColor="text1"/>
          <w:lang w:eastAsia="en-AU"/>
        </w:rPr>
        <w:t>, ‘Natural climate solutions’, Proceedings of the National Academy of Sciences of the United States of America, vol. 114, no. 44, pp. 11645-11650.</w:t>
      </w:r>
    </w:p>
    <w:p w14:paraId="71D976C1" w14:textId="77777777" w:rsidR="00B1453C" w:rsidRPr="005206CA" w:rsidRDefault="00B1453C" w:rsidP="00E55312">
      <w:pPr>
        <w:spacing w:line="240" w:lineRule="auto"/>
        <w:rPr>
          <w:rFonts w:eastAsia="Times New Roman" w:cs="Arial"/>
          <w:i/>
          <w:iCs/>
          <w:color w:val="000000" w:themeColor="text1"/>
          <w:lang w:eastAsia="en-AU"/>
        </w:rPr>
      </w:pPr>
      <w:r w:rsidRPr="005206CA">
        <w:rPr>
          <w:rFonts w:eastAsia="Times New Roman" w:cs="Arial"/>
          <w:i/>
          <w:iCs/>
          <w:color w:val="000000" w:themeColor="text1"/>
          <w:lang w:eastAsia="en-AU"/>
        </w:rPr>
        <w:t>Income Tax Assessment Act 1997</w:t>
      </w:r>
      <w:r w:rsidRPr="005206CA">
        <w:rPr>
          <w:rFonts w:eastAsia="Times New Roman" w:cs="Arial"/>
          <w:color w:val="000000" w:themeColor="text1"/>
          <w:lang w:eastAsia="en-AU"/>
        </w:rPr>
        <w:t xml:space="preserve"> (Cth).</w:t>
      </w:r>
    </w:p>
    <w:p w14:paraId="528E3C77" w14:textId="0C1F4AC0" w:rsidR="003879F3" w:rsidRPr="003879F3" w:rsidRDefault="003879F3" w:rsidP="003879F3">
      <w:pPr>
        <w:spacing w:line="240" w:lineRule="auto"/>
        <w:rPr>
          <w:rFonts w:eastAsia="Times New Roman" w:cs="Arial"/>
          <w:bCs/>
          <w:color w:val="000000" w:themeColor="text1"/>
          <w:lang w:eastAsia="en-AU"/>
        </w:rPr>
      </w:pPr>
      <w:r w:rsidRPr="003879F3">
        <w:rPr>
          <w:rFonts w:eastAsia="Times New Roman" w:cs="Arial"/>
          <w:b/>
          <w:bCs/>
          <w:color w:val="000000" w:themeColor="text1"/>
          <w:lang w:eastAsia="en-AU"/>
        </w:rPr>
        <w:t>InterContinental Exchange 2017a</w:t>
      </w:r>
      <w:r w:rsidRPr="003879F3">
        <w:rPr>
          <w:rFonts w:eastAsia="Times New Roman" w:cs="Arial"/>
          <w:bCs/>
          <w:color w:val="000000" w:themeColor="text1"/>
          <w:lang w:eastAsia="en-AU"/>
        </w:rPr>
        <w:t xml:space="preserve">, </w:t>
      </w:r>
      <w:r w:rsidRPr="009364C8">
        <w:rPr>
          <w:rFonts w:eastAsia="Times New Roman" w:cs="Arial"/>
          <w:bCs/>
          <w:i/>
          <w:color w:val="000000" w:themeColor="text1"/>
          <w:lang w:eastAsia="en-AU"/>
        </w:rPr>
        <w:t>CER Futures</w:t>
      </w:r>
      <w:r w:rsidRPr="003879F3">
        <w:rPr>
          <w:rFonts w:eastAsia="Times New Roman" w:cs="Arial"/>
          <w:bCs/>
          <w:color w:val="000000" w:themeColor="text1"/>
          <w:lang w:eastAsia="en-AU"/>
        </w:rPr>
        <w:t xml:space="preserve">, InterContinental Exchange, Atlanta, viewed 5 December 2017, </w:t>
      </w:r>
      <w:r w:rsidRPr="003879F3">
        <w:rPr>
          <w:rFonts w:eastAsia="Times New Roman" w:cs="Arial"/>
          <w:bCs/>
          <w:color w:val="000000" w:themeColor="text1"/>
          <w:lang w:eastAsia="en-AU"/>
        </w:rPr>
        <w:br/>
      </w:r>
      <w:hyperlink r:id="rId74" w:history="1">
        <w:r w:rsidRPr="00F77E27">
          <w:rPr>
            <w:rStyle w:val="Hyperlink"/>
            <w:rFonts w:eastAsia="Times New Roman" w:cs="Arial"/>
            <w:bCs/>
            <w:lang w:eastAsia="en-AU"/>
          </w:rPr>
          <w:t>www.theice.com/products/814666/CER-Futures/data</w:t>
        </w:r>
      </w:hyperlink>
      <w:r w:rsidR="00CB1A6E">
        <w:rPr>
          <w:rFonts w:eastAsia="Times New Roman" w:cs="Arial"/>
          <w:bCs/>
          <w:color w:val="000000" w:themeColor="text1"/>
          <w:lang w:eastAsia="en-AU"/>
        </w:rPr>
        <w:t>.</w:t>
      </w:r>
      <w:r>
        <w:rPr>
          <w:rFonts w:eastAsia="Times New Roman" w:cs="Arial"/>
          <w:bCs/>
          <w:color w:val="000000" w:themeColor="text1"/>
          <w:lang w:eastAsia="en-AU"/>
        </w:rPr>
        <w:t xml:space="preserve"> </w:t>
      </w:r>
    </w:p>
    <w:p w14:paraId="6C885AEF" w14:textId="5374A581"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InterContinental Exchange 2017</w:t>
      </w:r>
      <w:r w:rsidR="003879F3">
        <w:rPr>
          <w:rFonts w:eastAsia="Times New Roman" w:cs="Arial"/>
          <w:b/>
          <w:bCs/>
          <w:color w:val="000000" w:themeColor="text1"/>
          <w:lang w:eastAsia="en-AU"/>
        </w:rPr>
        <w:t>b</w:t>
      </w:r>
      <w:r w:rsidRPr="005206CA">
        <w:rPr>
          <w:rFonts w:eastAsia="Times New Roman" w:cs="Arial"/>
          <w:color w:val="000000" w:themeColor="text1"/>
          <w:lang w:eastAsia="en-AU"/>
        </w:rPr>
        <w:t xml:space="preserve">, </w:t>
      </w:r>
      <w:r w:rsidRPr="009364C8">
        <w:rPr>
          <w:rFonts w:eastAsia="Times New Roman" w:cs="Arial"/>
          <w:i/>
          <w:color w:val="000000" w:themeColor="text1"/>
          <w:lang w:eastAsia="en-AU"/>
        </w:rPr>
        <w:t>EUA Futures</w:t>
      </w:r>
      <w:r w:rsidRPr="005206CA">
        <w:rPr>
          <w:rFonts w:eastAsia="Times New Roman" w:cs="Arial"/>
          <w:color w:val="000000" w:themeColor="text1"/>
          <w:lang w:eastAsia="en-AU"/>
        </w:rPr>
        <w:t xml:space="preserve">, InterContinental Exchange, Atlanta, viewed 3 November 2017, </w:t>
      </w:r>
      <w:r w:rsidRPr="005206CA">
        <w:rPr>
          <w:rFonts w:eastAsia="Times New Roman" w:cs="Arial"/>
          <w:color w:val="000000" w:themeColor="text1"/>
          <w:lang w:eastAsia="en-AU"/>
        </w:rPr>
        <w:br/>
      </w:r>
      <w:hyperlink r:id="rId75" w:history="1">
        <w:r w:rsidR="008440FE" w:rsidRPr="005206CA">
          <w:rPr>
            <w:rStyle w:val="Hyperlink"/>
            <w:rFonts w:cs="Arial"/>
          </w:rPr>
          <w:t>www.theice.com/products/197/EUA-Futures/data</w:t>
        </w:r>
      </w:hyperlink>
      <w:r w:rsidR="00CB1A6E">
        <w:rPr>
          <w:rFonts w:eastAsia="Times New Roman" w:cs="Arial"/>
          <w:bCs/>
          <w:color w:val="000000" w:themeColor="text1"/>
          <w:lang w:eastAsia="en-AU"/>
        </w:rPr>
        <w:t>.</w:t>
      </w:r>
    </w:p>
    <w:p w14:paraId="23571D61" w14:textId="50999BC2" w:rsidR="008440FE" w:rsidRPr="005206CA" w:rsidRDefault="008440FE" w:rsidP="00E55312">
      <w:pPr>
        <w:spacing w:line="240" w:lineRule="auto"/>
        <w:rPr>
          <w:rFonts w:eastAsia="Times New Roman" w:cs="Arial"/>
          <w:i/>
          <w:color w:val="000000" w:themeColor="text1"/>
          <w:lang w:eastAsia="en-AU"/>
        </w:rPr>
      </w:pPr>
      <w:r w:rsidRPr="005206CA">
        <w:rPr>
          <w:rFonts w:eastAsia="Times New Roman" w:cs="Arial"/>
          <w:i/>
          <w:color w:val="000000" w:themeColor="text1"/>
          <w:lang w:eastAsia="en-AU"/>
        </w:rPr>
        <w:t>Intergovernmental Agreement on a National Water Initiative</w:t>
      </w:r>
      <w:r w:rsidR="008C625A">
        <w:rPr>
          <w:rFonts w:eastAsia="Times New Roman" w:cs="Arial"/>
          <w:i/>
          <w:color w:val="000000" w:themeColor="text1"/>
          <w:lang w:eastAsia="en-AU"/>
        </w:rPr>
        <w:t xml:space="preserve"> 2004.</w:t>
      </w:r>
    </w:p>
    <w:p w14:paraId="3E11E0E8" w14:textId="4E686B7A"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International Carbon Reduction &amp; Offset Alliance (ICROA) n.d.</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The ICROA Code of Best Practice</w:t>
      </w:r>
      <w:r w:rsidRPr="005206CA">
        <w:rPr>
          <w:rFonts w:eastAsia="Times New Roman" w:cs="Arial"/>
          <w:color w:val="000000" w:themeColor="text1"/>
          <w:lang w:eastAsia="en-AU"/>
        </w:rPr>
        <w:t xml:space="preserve">, ICROA, Geneva, viewed 3 November 2017, </w:t>
      </w:r>
      <w:r w:rsidRPr="005206CA">
        <w:rPr>
          <w:rFonts w:eastAsia="Times New Roman" w:cs="Arial"/>
          <w:color w:val="000000" w:themeColor="text1"/>
          <w:lang w:eastAsia="en-AU"/>
        </w:rPr>
        <w:br/>
      </w:r>
      <w:hyperlink r:id="rId76" w:history="1">
        <w:r w:rsidR="00A93D71" w:rsidRPr="00F77E27">
          <w:rPr>
            <w:rStyle w:val="Hyperlink"/>
            <w:rFonts w:eastAsia="Times New Roman" w:cs="Arial"/>
            <w:lang w:eastAsia="en-AU"/>
          </w:rPr>
          <w:t>www.icroa.org/The-ICROA-Code-of-Best-Practice</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08B4D74F" w14:textId="2FDC1914" w:rsidR="00B1453C" w:rsidRPr="005206CA" w:rsidRDefault="00B1453C"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International Civil Aviation Organization (ICAO) 2017</w:t>
      </w:r>
      <w:r w:rsidRPr="005206CA">
        <w:rPr>
          <w:rFonts w:eastAsia="Times New Roman" w:cs="Arial"/>
          <w:color w:val="000000" w:themeColor="text1"/>
          <w:lang w:eastAsia="en-AU"/>
        </w:rPr>
        <w:t xml:space="preserve">, </w:t>
      </w:r>
      <w:r w:rsidRPr="00F2015E">
        <w:rPr>
          <w:rFonts w:eastAsia="Times New Roman" w:cs="Arial"/>
          <w:i/>
          <w:color w:val="000000" w:themeColor="text1"/>
          <w:lang w:eastAsia="en-AU"/>
        </w:rPr>
        <w:t>3. What would be the impact of joining CORSIA?</w:t>
      </w:r>
      <w:r w:rsidRPr="005206CA">
        <w:rPr>
          <w:rFonts w:eastAsia="Times New Roman" w:cs="Arial"/>
          <w:color w:val="000000" w:themeColor="text1"/>
          <w:lang w:eastAsia="en-AU"/>
        </w:rPr>
        <w:t xml:space="preserve">, ICAO, Montreal, viewed 30 November 2017, </w:t>
      </w:r>
      <w:r w:rsidRPr="005206CA">
        <w:rPr>
          <w:rFonts w:eastAsia="Times New Roman" w:cs="Arial"/>
          <w:color w:val="000000" w:themeColor="text1"/>
          <w:lang w:eastAsia="en-AU"/>
        </w:rPr>
        <w:br/>
      </w:r>
      <w:hyperlink r:id="rId77" w:history="1">
        <w:r w:rsidR="00A93D71" w:rsidRPr="00F77E27">
          <w:rPr>
            <w:rStyle w:val="Hyperlink"/>
            <w:rFonts w:eastAsia="Times New Roman" w:cs="Arial"/>
            <w:lang w:eastAsia="en-AU"/>
          </w:rPr>
          <w:t>www.icao.int/environmental-protection/Pages/A39_CORSIA_FAQ3.aspx</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r w:rsidRPr="005206CA">
        <w:rPr>
          <w:rFonts w:eastAsia="Times New Roman" w:cs="Arial"/>
          <w:color w:val="000000" w:themeColor="text1"/>
          <w:lang w:eastAsia="en-AU"/>
        </w:rPr>
        <w:t xml:space="preserve"> </w:t>
      </w:r>
    </w:p>
    <w:p w14:paraId="450B8A12" w14:textId="0FBEE188"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KRX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[50101] Daily / closing price</w:t>
      </w:r>
      <w:r w:rsidRPr="005206CA">
        <w:rPr>
          <w:rFonts w:eastAsia="Times New Roman" w:cs="Arial"/>
          <w:color w:val="000000" w:themeColor="text1"/>
          <w:lang w:eastAsia="en-AU"/>
        </w:rPr>
        <w:t xml:space="preserve">, Korea Exchange, Busan, viewed 3 November 2017, </w:t>
      </w:r>
      <w:r w:rsidRPr="005206CA">
        <w:rPr>
          <w:rFonts w:eastAsia="Times New Roman" w:cs="Arial"/>
          <w:color w:val="000000" w:themeColor="text1"/>
          <w:lang w:eastAsia="en-AU"/>
        </w:rPr>
        <w:br/>
      </w:r>
      <w:hyperlink r:id="rId78" w:history="1">
        <w:r w:rsidR="00A93D71" w:rsidRPr="00F77E27">
          <w:rPr>
            <w:rStyle w:val="Hyperlink"/>
            <w:rFonts w:eastAsia="Times New Roman" w:cs="Arial"/>
            <w:lang w:eastAsia="en-AU"/>
          </w:rPr>
          <w:t>www.global.krx.co.kr/contents/GLB/05/0506/0506030102/GLB0506030102.jsp</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143FE9A6" w14:textId="59210533"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Local Land Services Western (Western LLS) 2016</w:t>
      </w:r>
      <w:r w:rsidR="00847333" w:rsidRPr="005206CA">
        <w:rPr>
          <w:rFonts w:eastAsia="Times New Roman" w:cs="Arial"/>
          <w:b/>
          <w:bCs/>
          <w:color w:val="000000" w:themeColor="text1"/>
          <w:lang w:eastAsia="en-AU"/>
        </w:rPr>
        <w:t>a</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Considering a carbon project?</w:t>
      </w:r>
      <w:r w:rsidRPr="005206CA">
        <w:rPr>
          <w:rFonts w:eastAsia="Times New Roman" w:cs="Arial"/>
          <w:color w:val="000000" w:themeColor="text1"/>
          <w:lang w:eastAsia="en-AU"/>
        </w:rPr>
        <w:t xml:space="preserve">, Western LLS, Bourke. </w:t>
      </w:r>
    </w:p>
    <w:p w14:paraId="5A617C74" w14:textId="50E442FB"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Western LLS 2016</w:t>
      </w:r>
      <w:r w:rsidR="00847333" w:rsidRPr="005206CA">
        <w:rPr>
          <w:rFonts w:eastAsia="Times New Roman" w:cs="Arial"/>
          <w:b/>
          <w:bCs/>
          <w:color w:val="000000" w:themeColor="text1"/>
          <w:lang w:eastAsia="en-AU"/>
        </w:rPr>
        <w:t>b</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DustWatch Network and Roadside Survey 2016</w:t>
      </w:r>
      <w:r w:rsidRPr="005206CA">
        <w:rPr>
          <w:rFonts w:eastAsia="Times New Roman" w:cs="Arial"/>
          <w:color w:val="000000" w:themeColor="text1"/>
          <w:lang w:eastAsia="en-AU"/>
        </w:rPr>
        <w:t>, Western LLS, Bourke, viewed 6 November 2017,</w:t>
      </w:r>
      <w:r w:rsidRPr="005206CA">
        <w:rPr>
          <w:rFonts w:eastAsia="Times New Roman" w:cs="Arial"/>
          <w:color w:val="000000" w:themeColor="text1"/>
          <w:lang w:eastAsia="en-AU"/>
        </w:rPr>
        <w:br/>
      </w:r>
      <w:hyperlink r:id="rId79" w:history="1">
        <w:r w:rsidR="00A93D71" w:rsidRPr="00F77E27">
          <w:rPr>
            <w:rStyle w:val="Hyperlink"/>
            <w:rFonts w:eastAsia="Times New Roman" w:cs="Arial"/>
            <w:lang w:eastAsia="en-AU"/>
          </w:rPr>
          <w:t>www.western.lls.nsw.gov.au/__data/assets/pdf_file/0009/684963/Updated-DustWatch-Network-and-Roadside-Survey.pdf</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7B7027C0" w14:textId="7E452627" w:rsidR="001C4743"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Meat &amp; Livestock Australia (MLA)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Red meat industry can be carbon neutral by 2030</w:t>
      </w:r>
      <w:r w:rsidRPr="005206CA">
        <w:rPr>
          <w:rFonts w:eastAsia="Times New Roman" w:cs="Arial"/>
          <w:color w:val="000000" w:themeColor="text1"/>
          <w:lang w:eastAsia="en-AU"/>
        </w:rPr>
        <w:t xml:space="preserve">, MLA, North Sydney, viewed 30 November 2017, </w:t>
      </w:r>
      <w:r w:rsidRPr="005206CA">
        <w:rPr>
          <w:rFonts w:eastAsia="Times New Roman" w:cs="Arial"/>
          <w:color w:val="000000" w:themeColor="text1"/>
          <w:lang w:eastAsia="en-AU"/>
        </w:rPr>
        <w:br/>
      </w:r>
      <w:hyperlink r:id="rId80" w:history="1">
        <w:r w:rsidR="009E29C4" w:rsidRPr="00F77E27">
          <w:rPr>
            <w:rStyle w:val="Hyperlink"/>
            <w:rFonts w:eastAsia="Times New Roman" w:cs="Arial"/>
            <w:lang w:eastAsia="en-AU"/>
          </w:rPr>
          <w:t>www.mla.com.au/news-and-events/industry-news/red-meat-industry-can-be-carbon-neutral-by-2030</w:t>
        </w:r>
      </w:hyperlink>
      <w:r w:rsidR="00045F75">
        <w:rPr>
          <w:rFonts w:eastAsia="Times New Roman" w:cs="Arial"/>
          <w:color w:val="000000" w:themeColor="text1"/>
          <w:lang w:eastAsia="en-AU"/>
        </w:rPr>
        <w:t>.</w:t>
      </w:r>
    </w:p>
    <w:p w14:paraId="47977D5A" w14:textId="1A658186" w:rsidR="009E29C4" w:rsidRPr="005206CA" w:rsidRDefault="009E29C4" w:rsidP="00E55312">
      <w:pPr>
        <w:spacing w:line="240" w:lineRule="auto"/>
        <w:rPr>
          <w:rFonts w:eastAsia="Times New Roman" w:cs="Arial"/>
          <w:color w:val="000000" w:themeColor="text1"/>
          <w:lang w:eastAsia="en-AU"/>
        </w:rPr>
      </w:pPr>
      <w:r w:rsidRPr="009E29C4">
        <w:rPr>
          <w:rFonts w:eastAsia="Times New Roman" w:cs="Arial"/>
          <w:b/>
          <w:color w:val="000000" w:themeColor="text1"/>
          <w:lang w:eastAsia="en-AU"/>
        </w:rPr>
        <w:t>Morgan, E and Janda, M 2017</w:t>
      </w:r>
      <w:r w:rsidRPr="009E29C4">
        <w:rPr>
          <w:rFonts w:eastAsia="Times New Roman" w:cs="Arial"/>
          <w:color w:val="000000" w:themeColor="text1"/>
          <w:lang w:eastAsia="en-AU"/>
        </w:rPr>
        <w:t xml:space="preserve">, ‘Business backs National Energy Guarantee, but Turnbull's plan unlikely to stop coal's demise’, </w:t>
      </w:r>
      <w:r w:rsidRPr="009E29C4">
        <w:rPr>
          <w:rFonts w:eastAsia="Times New Roman" w:cs="Arial"/>
          <w:i/>
          <w:color w:val="000000" w:themeColor="text1"/>
          <w:lang w:eastAsia="en-AU"/>
        </w:rPr>
        <w:t>ABC News</w:t>
      </w:r>
      <w:r w:rsidRPr="009E29C4">
        <w:rPr>
          <w:rFonts w:eastAsia="Times New Roman" w:cs="Arial"/>
          <w:color w:val="000000" w:themeColor="text1"/>
          <w:lang w:eastAsia="en-AU"/>
        </w:rPr>
        <w:t xml:space="preserve">, 17 October, viewed 6 December, </w:t>
      </w:r>
      <w:hyperlink r:id="rId81" w:history="1">
        <w:r w:rsidR="00A93D71" w:rsidRPr="00F77E27">
          <w:rPr>
            <w:rStyle w:val="Hyperlink"/>
            <w:rFonts w:eastAsia="Times New Roman" w:cs="Arial"/>
            <w:lang w:eastAsia="en-AU"/>
          </w:rPr>
          <w:t>www.abc.net.au/news/2017-10-17/business-backs-national-energy-guarantee/9059844</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4A40CE71"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i/>
          <w:iCs/>
          <w:color w:val="000000" w:themeColor="text1"/>
          <w:lang w:eastAsia="en-AU"/>
        </w:rPr>
        <w:t>National Greenhouse and Energy Reporting Act 2007</w:t>
      </w:r>
      <w:r w:rsidRPr="005206CA">
        <w:rPr>
          <w:rFonts w:eastAsia="Times New Roman" w:cs="Arial"/>
          <w:color w:val="000000" w:themeColor="text1"/>
          <w:lang w:eastAsia="en-AU"/>
        </w:rPr>
        <w:t xml:space="preserve"> (Cth).</w:t>
      </w:r>
    </w:p>
    <w:p w14:paraId="5DE8AD2D"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i/>
          <w:iCs/>
          <w:color w:val="000000" w:themeColor="text1"/>
          <w:lang w:eastAsia="en-AU"/>
        </w:rPr>
        <w:t>Native Title Act 1993</w:t>
      </w:r>
      <w:r w:rsidRPr="005206CA">
        <w:rPr>
          <w:rFonts w:eastAsia="Times New Roman" w:cs="Arial"/>
          <w:color w:val="000000" w:themeColor="text1"/>
          <w:lang w:eastAsia="en-AU"/>
        </w:rPr>
        <w:t xml:space="preserve"> (Cth).</w:t>
      </w:r>
    </w:p>
    <w:p w14:paraId="6AD0D6A3" w14:textId="77777777" w:rsidR="001C4743" w:rsidRPr="005206CA" w:rsidRDefault="001C4743" w:rsidP="00E55312">
      <w:pPr>
        <w:spacing w:line="240" w:lineRule="auto"/>
        <w:rPr>
          <w:rFonts w:eastAsia="Times New Roman" w:cs="Arial"/>
          <w:i/>
          <w:iCs/>
          <w:color w:val="000000" w:themeColor="text1"/>
          <w:lang w:eastAsia="en-AU"/>
        </w:rPr>
      </w:pPr>
      <w:r w:rsidRPr="005206CA">
        <w:rPr>
          <w:rFonts w:eastAsia="Times New Roman" w:cs="Arial"/>
          <w:i/>
          <w:iCs/>
          <w:color w:val="000000" w:themeColor="text1"/>
          <w:lang w:eastAsia="en-AU"/>
        </w:rPr>
        <w:t>Native Vegetation Act 2003</w:t>
      </w:r>
      <w:r w:rsidRPr="005206CA">
        <w:rPr>
          <w:rFonts w:eastAsia="Times New Roman" w:cs="Arial"/>
          <w:color w:val="000000" w:themeColor="text1"/>
          <w:lang w:eastAsia="en-AU"/>
        </w:rPr>
        <w:t xml:space="preserve"> (NSW).</w:t>
      </w:r>
    </w:p>
    <w:p w14:paraId="781AA8ED"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i/>
          <w:iCs/>
          <w:color w:val="000000" w:themeColor="text1"/>
          <w:lang w:eastAsia="en-AU"/>
        </w:rPr>
        <w:t>Pest Plants and Animals Act 2005</w:t>
      </w:r>
      <w:r w:rsidRPr="005206CA">
        <w:rPr>
          <w:rFonts w:eastAsia="Times New Roman" w:cs="Arial"/>
          <w:color w:val="000000" w:themeColor="text1"/>
          <w:lang w:eastAsia="en-AU"/>
        </w:rPr>
        <w:t xml:space="preserve"> (ACT). </w:t>
      </w:r>
    </w:p>
    <w:p w14:paraId="7E4E7C7C"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Price, O, Russell-Smith, J &amp; Watt, F 2012</w:t>
      </w:r>
      <w:r w:rsidRPr="005206CA">
        <w:rPr>
          <w:rFonts w:eastAsia="Times New Roman" w:cs="Arial"/>
          <w:color w:val="000000" w:themeColor="text1"/>
          <w:lang w:eastAsia="en-AU"/>
        </w:rPr>
        <w:t xml:space="preserve">, ‘The influence of prescribed fire on the extent of wildfire in savanna landscapes of western Arnhem Land, Australia’, </w:t>
      </w:r>
      <w:r w:rsidRPr="005206CA">
        <w:rPr>
          <w:rFonts w:eastAsia="Times New Roman" w:cs="Arial"/>
          <w:i/>
          <w:iCs/>
          <w:color w:val="000000" w:themeColor="text1"/>
          <w:lang w:eastAsia="en-AU"/>
        </w:rPr>
        <w:t>International Journal of Wildland Fire</w:t>
      </w:r>
      <w:r w:rsidRPr="005206CA">
        <w:rPr>
          <w:rFonts w:eastAsia="Times New Roman" w:cs="Arial"/>
          <w:color w:val="000000" w:themeColor="text1"/>
          <w:lang w:eastAsia="en-AU"/>
        </w:rPr>
        <w:t>, vol. 21, no. 3, pp. 297–305.</w:t>
      </w:r>
    </w:p>
    <w:p w14:paraId="104064E5"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Rabbi, S, Tighe, M, Baquerizo, M, Cowie, A, Robertson, F, Dalal, R, Page, K, Crawford, D, Wilson, B, Schwenke, G, Mcleod, M, Badgery, W, Dang, Y, Bell, M, O'Leary, G, Liu, DL, &amp; Baldock, J 2015</w:t>
      </w:r>
      <w:r w:rsidRPr="005206CA">
        <w:rPr>
          <w:rFonts w:eastAsia="Times New Roman" w:cs="Arial"/>
          <w:color w:val="000000" w:themeColor="text1"/>
          <w:lang w:eastAsia="en-AU"/>
        </w:rPr>
        <w:t xml:space="preserve">, 'Climate and soil properties limit the positive effects of land use reversion on carbon storage in Eastern Australia', </w:t>
      </w:r>
      <w:r w:rsidRPr="005206CA">
        <w:rPr>
          <w:rFonts w:eastAsia="Times New Roman" w:cs="Arial"/>
          <w:i/>
          <w:iCs/>
          <w:color w:val="000000" w:themeColor="text1"/>
          <w:lang w:eastAsia="en-AU"/>
        </w:rPr>
        <w:t>Scientific Reports</w:t>
      </w:r>
      <w:r w:rsidRPr="005206CA">
        <w:rPr>
          <w:rFonts w:eastAsia="Times New Roman" w:cs="Arial"/>
          <w:color w:val="000000" w:themeColor="text1"/>
          <w:lang w:eastAsia="en-AU"/>
        </w:rPr>
        <w:t>, vol. 5, pp. 1–10.</w:t>
      </w:r>
    </w:p>
    <w:p w14:paraId="4C232FCC"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Rabbi, S, Tighe, M, Cowie, A, Wilson, B, Schwenke, G, Mcleod, M, Badgery, W, &amp; Baldock, J 2014</w:t>
      </w:r>
      <w:r w:rsidRPr="005206CA">
        <w:rPr>
          <w:rFonts w:eastAsia="Times New Roman" w:cs="Arial"/>
          <w:color w:val="000000" w:themeColor="text1"/>
          <w:lang w:eastAsia="en-AU"/>
        </w:rPr>
        <w:t xml:space="preserve">, 'The relationships between land uses, soil management practices, and soil carbon fractions in South Eastern Australia', </w:t>
      </w:r>
      <w:r w:rsidRPr="005206CA">
        <w:rPr>
          <w:rFonts w:eastAsia="Times New Roman" w:cs="Arial"/>
          <w:i/>
          <w:iCs/>
          <w:color w:val="000000" w:themeColor="text1"/>
          <w:lang w:eastAsia="en-AU"/>
        </w:rPr>
        <w:t xml:space="preserve">Agriculture Ecosystems &amp; Environment, </w:t>
      </w:r>
      <w:r w:rsidRPr="005206CA">
        <w:rPr>
          <w:rFonts w:eastAsia="Times New Roman" w:cs="Arial"/>
          <w:color w:val="000000" w:themeColor="text1"/>
          <w:lang w:eastAsia="en-AU"/>
        </w:rPr>
        <w:t xml:space="preserve">vol. 197, pp. 41–52. </w:t>
      </w:r>
    </w:p>
    <w:p w14:paraId="0E6A3A5A"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RepuTex Carbon 2016</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Total ACCU Supply</w:t>
      </w:r>
      <w:r w:rsidRPr="005206CA">
        <w:rPr>
          <w:rFonts w:eastAsia="Times New Roman" w:cs="Arial"/>
          <w:color w:val="000000" w:themeColor="text1"/>
          <w:lang w:eastAsia="en-AU"/>
        </w:rPr>
        <w:t xml:space="preserve">, RepuTex, Melbourne. </w:t>
      </w:r>
    </w:p>
    <w:p w14:paraId="7DFEB48B"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Russell-Smith, J, Cook, G, Cooke, P, Edwards, A, Lendrum, M, Meyer, CP &amp; Whitehead, P 2013</w:t>
      </w:r>
      <w:r w:rsidRPr="005206CA">
        <w:rPr>
          <w:rFonts w:eastAsia="Times New Roman" w:cs="Arial"/>
          <w:color w:val="000000" w:themeColor="text1"/>
          <w:lang w:eastAsia="en-AU"/>
        </w:rPr>
        <w:t xml:space="preserve">, ‘Managing fire regimes in North Australian savannas: applying Aboriginal approaches to contemporary global problems’, </w:t>
      </w:r>
      <w:r w:rsidRPr="005206CA">
        <w:rPr>
          <w:rFonts w:eastAsia="Times New Roman" w:cs="Arial"/>
          <w:i/>
          <w:iCs/>
          <w:color w:val="000000" w:themeColor="text1"/>
          <w:lang w:eastAsia="en-AU"/>
        </w:rPr>
        <w:t>Frontiers in Ecology and the Environment</w:t>
      </w:r>
      <w:r w:rsidRPr="005206CA">
        <w:rPr>
          <w:rFonts w:eastAsia="Times New Roman" w:cs="Arial"/>
          <w:color w:val="000000" w:themeColor="text1"/>
          <w:lang w:eastAsia="en-AU"/>
        </w:rPr>
        <w:t>, vol. 11, no. 1, pp. e55–e63.</w:t>
      </w:r>
    </w:p>
    <w:p w14:paraId="7551068F" w14:textId="77777777"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Smith, P, Martino, D, Cai, Z, Gwary, D, Janzen, H, Kumar, P, McCarl, B, Ogle, S, O’Mara, F, Rice, C, Scholes, B, Sirotenko, O, Howden, M, McAllister, T, Pan, G, Romanenkov, V, Schneider, U, Towprayoon, S, Wattenbach, M &amp; Smith, J 2008</w:t>
      </w:r>
      <w:r w:rsidRPr="005206CA">
        <w:rPr>
          <w:rFonts w:eastAsia="Times New Roman" w:cs="Arial"/>
          <w:color w:val="000000" w:themeColor="text1"/>
          <w:lang w:eastAsia="en-AU"/>
        </w:rPr>
        <w:t>, ‘Greenhouse gas mitigation in agriculture’,</w:t>
      </w:r>
      <w:r w:rsidRPr="005206CA">
        <w:rPr>
          <w:rFonts w:eastAsia="Times New Roman" w:cs="Arial"/>
          <w:i/>
          <w:iCs/>
          <w:color w:val="000000" w:themeColor="text1"/>
          <w:lang w:eastAsia="en-AU"/>
        </w:rPr>
        <w:t xml:space="preserve"> Philosophical Transactions of the Royal Society B</w:t>
      </w:r>
      <w:r w:rsidRPr="005206CA">
        <w:rPr>
          <w:rFonts w:eastAsia="Times New Roman" w:cs="Arial"/>
          <w:color w:val="000000" w:themeColor="text1"/>
          <w:lang w:eastAsia="en-AU"/>
        </w:rPr>
        <w:t>, vol. 363, pp. 789–813.</w:t>
      </w:r>
    </w:p>
    <w:p w14:paraId="7945FCB9" w14:textId="4A4A2439" w:rsidR="00E22A44" w:rsidRPr="005206CA" w:rsidRDefault="00E22A44" w:rsidP="00E55312">
      <w:pPr>
        <w:spacing w:line="240" w:lineRule="auto"/>
        <w:rPr>
          <w:rFonts w:eastAsia="Times New Roman" w:cs="Arial"/>
          <w:color w:val="000000"/>
          <w:lang w:eastAsia="en-AU"/>
        </w:rPr>
      </w:pPr>
      <w:r w:rsidRPr="005206CA">
        <w:rPr>
          <w:rFonts w:eastAsia="Times New Roman" w:cs="Arial"/>
          <w:b/>
          <w:bCs/>
          <w:color w:val="000000"/>
          <w:lang w:eastAsia="en-AU"/>
        </w:rPr>
        <w:t>Taylor, L 2015</w:t>
      </w:r>
      <w:r w:rsidRPr="005206CA">
        <w:rPr>
          <w:rFonts w:eastAsia="Times New Roman" w:cs="Arial"/>
          <w:color w:val="000000"/>
          <w:lang w:eastAsia="en-AU"/>
        </w:rPr>
        <w:t xml:space="preserve">, ‘Greg Hunt hasn't a lot to show for $660m spent on reducing greenhouse emissions’, </w:t>
      </w:r>
      <w:r w:rsidRPr="005206CA">
        <w:rPr>
          <w:rFonts w:eastAsia="Times New Roman" w:cs="Arial"/>
          <w:i/>
          <w:iCs/>
          <w:color w:val="000000"/>
          <w:lang w:eastAsia="en-AU"/>
        </w:rPr>
        <w:t>The Guardian</w:t>
      </w:r>
      <w:r w:rsidRPr="005206CA">
        <w:rPr>
          <w:rFonts w:eastAsia="Times New Roman" w:cs="Arial"/>
          <w:color w:val="000000"/>
          <w:lang w:eastAsia="en-AU"/>
        </w:rPr>
        <w:t xml:space="preserve">, 1 May, viewed 7 November 2017, </w:t>
      </w:r>
      <w:r w:rsidRPr="005206CA">
        <w:rPr>
          <w:rFonts w:eastAsia="Times New Roman" w:cs="Arial"/>
          <w:color w:val="000000"/>
          <w:lang w:eastAsia="en-AU"/>
        </w:rPr>
        <w:br/>
      </w:r>
      <w:hyperlink r:id="rId82" w:history="1">
        <w:r w:rsidR="00A93D71" w:rsidRPr="00F77E27">
          <w:rPr>
            <w:rStyle w:val="Hyperlink"/>
            <w:rFonts w:eastAsia="Times New Roman" w:cs="Arial"/>
            <w:lang w:eastAsia="en-AU"/>
          </w:rPr>
          <w:t>www.theguardian.com/environment/2015/may/01/greg-hunt-660m-spent-reducing-greenhouse-emissions</w:t>
        </w:r>
      </w:hyperlink>
      <w:r w:rsidR="00045F75">
        <w:rPr>
          <w:rFonts w:eastAsia="Times New Roman" w:cs="Arial"/>
          <w:color w:val="000000"/>
          <w:lang w:eastAsia="en-AU"/>
        </w:rPr>
        <w:t>.</w:t>
      </w:r>
      <w:r w:rsidR="00A93D71">
        <w:rPr>
          <w:rFonts w:eastAsia="Times New Roman" w:cs="Arial"/>
          <w:color w:val="000000"/>
          <w:lang w:eastAsia="en-AU"/>
        </w:rPr>
        <w:t xml:space="preserve"> </w:t>
      </w:r>
    </w:p>
    <w:p w14:paraId="5D6CD5AC" w14:textId="43D1F37B"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United Nations Framework Convention on Climate Change (UNFCCC)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Project activities</w:t>
      </w:r>
      <w:r w:rsidRPr="005206CA">
        <w:rPr>
          <w:rFonts w:eastAsia="Times New Roman" w:cs="Arial"/>
          <w:color w:val="000000" w:themeColor="text1"/>
          <w:lang w:eastAsia="en-AU"/>
        </w:rPr>
        <w:t>, UNFCCC, New York, viewed 12 August 2017,</w:t>
      </w:r>
      <w:r w:rsidRPr="005206CA">
        <w:rPr>
          <w:rFonts w:eastAsia="Times New Roman" w:cs="Arial"/>
          <w:color w:val="000000" w:themeColor="text1"/>
          <w:lang w:eastAsia="en-AU"/>
        </w:rPr>
        <w:br/>
      </w:r>
      <w:hyperlink r:id="rId83" w:history="1">
        <w:r w:rsidR="00A93D71" w:rsidRPr="00F77E27">
          <w:rPr>
            <w:rStyle w:val="Hyperlink"/>
            <w:rFonts w:eastAsia="Times New Roman" w:cs="Arial"/>
            <w:lang w:eastAsia="en-AU"/>
          </w:rPr>
          <w:t>www.cdm.unfccc.int/Statistics/Public/CDMinsights/index.html</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143C8211" w14:textId="50983209" w:rsidR="001C4743" w:rsidRPr="005206CA" w:rsidRDefault="001C4743" w:rsidP="00E55312">
      <w:pPr>
        <w:spacing w:line="240" w:lineRule="auto"/>
        <w:rPr>
          <w:rFonts w:eastAsia="Times New Roman" w:cs="Arial"/>
          <w:color w:val="000000" w:themeColor="text1"/>
          <w:lang w:eastAsia="en-AU"/>
        </w:rPr>
      </w:pPr>
      <w:r w:rsidRPr="005206CA">
        <w:rPr>
          <w:rFonts w:eastAsia="Times New Roman" w:cs="Arial"/>
          <w:b/>
          <w:bCs/>
          <w:color w:val="000000" w:themeColor="text1"/>
          <w:lang w:eastAsia="en-AU"/>
        </w:rPr>
        <w:t>Verified Carbon Standard (VCS) 2017</w:t>
      </w:r>
      <w:r w:rsidRPr="005206CA">
        <w:rPr>
          <w:rFonts w:eastAsia="Times New Roman" w:cs="Arial"/>
          <w:color w:val="000000" w:themeColor="text1"/>
          <w:lang w:eastAsia="en-AU"/>
        </w:rPr>
        <w:t xml:space="preserve">, </w:t>
      </w:r>
      <w:r w:rsidRPr="005206CA">
        <w:rPr>
          <w:rFonts w:eastAsia="Times New Roman" w:cs="Arial"/>
          <w:i/>
          <w:iCs/>
          <w:color w:val="000000" w:themeColor="text1"/>
          <w:lang w:eastAsia="en-AU"/>
        </w:rPr>
        <w:t>VCU Project Database</w:t>
      </w:r>
      <w:r w:rsidRPr="005206CA">
        <w:rPr>
          <w:rFonts w:eastAsia="Times New Roman" w:cs="Arial"/>
          <w:color w:val="000000" w:themeColor="text1"/>
          <w:lang w:eastAsia="en-AU"/>
        </w:rPr>
        <w:t>, VCS, Washington DC, viewed 11 August 2017,</w:t>
      </w:r>
      <w:r w:rsidRPr="005206CA">
        <w:rPr>
          <w:rFonts w:eastAsia="Times New Roman" w:cs="Arial"/>
          <w:color w:val="000000" w:themeColor="text1"/>
          <w:lang w:eastAsia="en-AU"/>
        </w:rPr>
        <w:br/>
      </w:r>
      <w:hyperlink r:id="rId84" w:anchor="/vcus" w:history="1">
        <w:r w:rsidR="00A93D71" w:rsidRPr="00F77E27">
          <w:rPr>
            <w:rStyle w:val="Hyperlink"/>
            <w:rFonts w:eastAsia="Times New Roman" w:cs="Arial"/>
            <w:lang w:eastAsia="en-AU"/>
          </w:rPr>
          <w:t>www.vcsprojectdatabase.org/#/vcus</w:t>
        </w:r>
      </w:hyperlink>
      <w:r w:rsidR="00045F75">
        <w:rPr>
          <w:rFonts w:eastAsia="Times New Roman" w:cs="Arial"/>
          <w:color w:val="000000" w:themeColor="text1"/>
          <w:lang w:eastAsia="en-AU"/>
        </w:rPr>
        <w:t>.</w:t>
      </w:r>
      <w:r w:rsidR="00A93D71">
        <w:rPr>
          <w:rFonts w:eastAsia="Times New Roman" w:cs="Arial"/>
          <w:color w:val="000000" w:themeColor="text1"/>
          <w:lang w:eastAsia="en-AU"/>
        </w:rPr>
        <w:t xml:space="preserve"> </w:t>
      </w:r>
    </w:p>
    <w:p w14:paraId="7E0A9D16" w14:textId="7C3151B7" w:rsidR="006B14DB" w:rsidRPr="00EF53FF" w:rsidRDefault="001C4743" w:rsidP="00932861">
      <w:r w:rsidRPr="005206CA">
        <w:rPr>
          <w:rFonts w:eastAsia="Times New Roman" w:cs="Arial"/>
          <w:b/>
          <w:bCs/>
          <w:color w:val="000000" w:themeColor="text1"/>
          <w:lang w:eastAsia="en-AU"/>
        </w:rPr>
        <w:t>Waters, C, Cowie, A, Orgill, SE, Melville, G, Garland, F, Simpson, M, Chappell, A, Paul, K, Cockfield &amp; G, Grant, R 2017</w:t>
      </w:r>
      <w:r w:rsidRPr="005206CA">
        <w:rPr>
          <w:rFonts w:eastAsia="Times New Roman" w:cs="Arial"/>
          <w:color w:val="000000" w:themeColor="text1"/>
          <w:lang w:eastAsia="en-AU"/>
        </w:rPr>
        <w:t xml:space="preserve">, ‘Assessing the impacts and opportunities from carbon farming in western NSW’, </w:t>
      </w:r>
      <w:r w:rsidRPr="005206CA">
        <w:rPr>
          <w:rFonts w:eastAsia="Times New Roman" w:cs="Arial"/>
          <w:i/>
          <w:iCs/>
          <w:color w:val="000000" w:themeColor="text1"/>
          <w:lang w:eastAsia="en-AU"/>
        </w:rPr>
        <w:t>Proceedings of the Australian Rangeland Society 19th Biennial Conference</w:t>
      </w:r>
      <w:r w:rsidRPr="005206CA">
        <w:rPr>
          <w:rFonts w:eastAsia="Times New Roman" w:cs="Arial"/>
          <w:color w:val="000000" w:themeColor="text1"/>
          <w:lang w:eastAsia="en-AU"/>
        </w:rPr>
        <w:t xml:space="preserve">, Australian Rangeland Society, Port Augusta, viewed 20 November 2017, </w:t>
      </w:r>
      <w:r w:rsidRPr="005206CA">
        <w:rPr>
          <w:rFonts w:eastAsia="Times New Roman" w:cs="Arial"/>
          <w:color w:val="000000" w:themeColor="text1"/>
          <w:lang w:eastAsia="en-AU"/>
        </w:rPr>
        <w:br/>
      </w:r>
      <w:hyperlink r:id="rId85" w:history="1">
        <w:r w:rsidR="00A33CEB" w:rsidRPr="00F77E27">
          <w:rPr>
            <w:rStyle w:val="Hyperlink"/>
            <w:rFonts w:eastAsia="Times New Roman" w:cs="Arial"/>
            <w:lang w:eastAsia="en-AU"/>
          </w:rPr>
          <w:t>www.austrangesoc.com.au/data/ARSC2017/2017_Conference_Papers/Waters_et_al_Paper_26.pdf</w:t>
        </w:r>
      </w:hyperlink>
      <w:r w:rsidR="00045F75">
        <w:rPr>
          <w:rFonts w:eastAsia="Times New Roman" w:cs="Arial"/>
          <w:color w:val="000000" w:themeColor="text1"/>
          <w:lang w:eastAsia="en-AU"/>
        </w:rPr>
        <w:t>.</w:t>
      </w:r>
      <w:r w:rsidR="00A33CEB">
        <w:rPr>
          <w:rFonts w:eastAsia="Times New Roman" w:cs="Arial"/>
          <w:color w:val="000000" w:themeColor="text1"/>
          <w:lang w:eastAsia="en-AU"/>
        </w:rPr>
        <w:t xml:space="preserve"> </w:t>
      </w:r>
      <w:bookmarkStart w:id="1917" w:name="_GoBack"/>
      <w:bookmarkEnd w:id="1917"/>
    </w:p>
    <w:sectPr w:rsidR="006B14DB" w:rsidRPr="00EF53FF" w:rsidSect="00B926E9">
      <w:headerReference w:type="first" r:id="rId86"/>
      <w:pgSz w:w="11906" w:h="16838"/>
      <w:pgMar w:top="1418" w:right="1276" w:bottom="567" w:left="1418" w:header="425" w:footer="42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1B8F9E" w16cid:durableId="1DBD2282"/>
  <w16cid:commentId w16cid:paraId="3361986F" w16cid:durableId="1DBD231A"/>
  <w16cid:commentId w16cid:paraId="4221B3B7" w16cid:durableId="1DBD234B"/>
  <w16cid:commentId w16cid:paraId="21F841B5" w16cid:durableId="1DBD2370"/>
  <w16cid:commentId w16cid:paraId="4BFD8882" w16cid:durableId="1DBD2399"/>
  <w16cid:commentId w16cid:paraId="586AAF34" w16cid:durableId="1DBD23F0"/>
  <w16cid:commentId w16cid:paraId="0FD03EC7" w16cid:durableId="1DBD248B"/>
  <w16cid:commentId w16cid:paraId="43050673" w16cid:durableId="1DBD24FD"/>
  <w16cid:commentId w16cid:paraId="32D53F6C" w16cid:durableId="1DBD255A"/>
  <w16cid:commentId w16cid:paraId="39EEDD50" w16cid:durableId="1DBD263F"/>
  <w16cid:commentId w16cid:paraId="1BAD200E" w16cid:durableId="1DBD2684"/>
  <w16cid:commentId w16cid:paraId="5BB37254" w16cid:durableId="1DBD26B7"/>
  <w16cid:commentId w16cid:paraId="0E35F808" w16cid:durableId="1DBD2169"/>
  <w16cid:commentId w16cid:paraId="4778F384" w16cid:durableId="1DBD26D3"/>
  <w16cid:commentId w16cid:paraId="0622FA08" w16cid:durableId="1DBD2727"/>
  <w16cid:commentId w16cid:paraId="149B6E34" w16cid:durableId="1DBD283A"/>
  <w16cid:commentId w16cid:paraId="29DF884D" w16cid:durableId="1DBD216A"/>
  <w16cid:commentId w16cid:paraId="7F7CA96B" w16cid:durableId="1DBD216B"/>
  <w16cid:commentId w16cid:paraId="591E86FA" w16cid:durableId="1DBD216C"/>
  <w16cid:commentId w16cid:paraId="032D087B" w16cid:durableId="1DBD216D"/>
  <w16cid:commentId w16cid:paraId="71AAFA1F" w16cid:durableId="1DBD216E"/>
  <w16cid:commentId w16cid:paraId="474A743F" w16cid:durableId="1DBD28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CE5EF" w14:textId="77777777" w:rsidR="00FA062E" w:rsidRDefault="00FA062E" w:rsidP="00A60185">
      <w:pPr>
        <w:spacing w:after="0" w:line="240" w:lineRule="auto"/>
      </w:pPr>
      <w:r>
        <w:separator/>
      </w:r>
    </w:p>
  </w:endnote>
  <w:endnote w:type="continuationSeparator" w:id="0">
    <w:p w14:paraId="61C6855D" w14:textId="77777777" w:rsidR="00FA062E" w:rsidRDefault="00FA062E" w:rsidP="00A60185">
      <w:pPr>
        <w:spacing w:after="0" w:line="240" w:lineRule="auto"/>
      </w:pPr>
      <w:r>
        <w:continuationSeparator/>
      </w:r>
    </w:p>
  </w:endnote>
  <w:endnote w:type="continuationNotice" w:id="1">
    <w:p w14:paraId="0185529B" w14:textId="77777777" w:rsidR="00FA062E" w:rsidRDefault="00FA06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Arial"/>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3D7C4" w14:textId="77777777" w:rsidR="00FA062E" w:rsidRDefault="00FA062E" w:rsidP="00A60185">
      <w:pPr>
        <w:spacing w:after="0" w:line="240" w:lineRule="auto"/>
      </w:pPr>
      <w:r>
        <w:separator/>
      </w:r>
    </w:p>
  </w:footnote>
  <w:footnote w:type="continuationSeparator" w:id="0">
    <w:p w14:paraId="76A00806" w14:textId="77777777" w:rsidR="00FA062E" w:rsidRDefault="00FA062E" w:rsidP="00A60185">
      <w:pPr>
        <w:spacing w:after="0" w:line="240" w:lineRule="auto"/>
      </w:pPr>
      <w:r>
        <w:continuationSeparator/>
      </w:r>
    </w:p>
  </w:footnote>
  <w:footnote w:type="continuationNotice" w:id="1">
    <w:p w14:paraId="3FE6026B" w14:textId="77777777" w:rsidR="00FA062E" w:rsidRDefault="00FA062E">
      <w:pPr>
        <w:spacing w:after="0" w:line="240" w:lineRule="auto"/>
      </w:pPr>
    </w:p>
  </w:footnote>
  <w:footnote w:id="2">
    <w:p w14:paraId="07A6D395" w14:textId="0CA0BB56" w:rsidR="00FA062E" w:rsidRDefault="00FA062E" w:rsidP="00AC7279">
      <w:pPr>
        <w:pStyle w:val="Footnote"/>
      </w:pPr>
      <w:r w:rsidRPr="006905DA">
        <w:rPr>
          <w:rStyle w:val="FootnoteReference"/>
        </w:rPr>
        <w:footnoteRef/>
      </w:r>
      <w:r w:rsidRPr="008B11B3">
        <w:t xml:space="preserve"> The Authority </w:t>
      </w:r>
      <w:r>
        <w:t xml:space="preserve">since </w:t>
      </w:r>
      <w:r w:rsidRPr="008B11B3">
        <w:t>recommended that the Government consider a Clean Energy Target if it is unable to implement an emissions intensity scheme (</w:t>
      </w:r>
      <w:r w:rsidRPr="0021051F" w:rsidDel="005E6143">
        <w:t>AEMC and CCA</w:t>
      </w:r>
      <w:r w:rsidRPr="00AC7279">
        <w:t xml:space="preserve"> </w:t>
      </w:r>
      <w:r w:rsidRPr="0021051F">
        <w:t>2017).</w:t>
      </w:r>
    </w:p>
  </w:footnote>
  <w:footnote w:id="3">
    <w:p w14:paraId="15522F2E" w14:textId="01DF3B0C" w:rsidR="00FA062E" w:rsidRPr="00E41751" w:rsidRDefault="00FA062E" w:rsidP="00AC7279">
      <w:pPr>
        <w:pStyle w:val="Footnote"/>
        <w:spacing w:after="40"/>
      </w:pPr>
      <w:r w:rsidRPr="00E41751">
        <w:rPr>
          <w:rStyle w:val="FootnoteReference"/>
          <w:sz w:val="18"/>
          <w:szCs w:val="18"/>
        </w:rPr>
        <w:footnoteRef/>
      </w:r>
      <w:r w:rsidRPr="00E41751">
        <w:t xml:space="preserve"> </w:t>
      </w:r>
      <w:r>
        <w:t>Emissions a</w:t>
      </w:r>
      <w:r w:rsidRPr="00E41751">
        <w:t>voidance offset projects refer to those that avoid emissions of greenhouse gases. Storage (or sequestration</w:t>
      </w:r>
      <w:r>
        <w:t>)</w:t>
      </w:r>
      <w:r w:rsidRPr="00E41751">
        <w:t xml:space="preserve"> offset projects are those that remove </w:t>
      </w:r>
      <w:r w:rsidRPr="0059436C">
        <w:t>or avoid</w:t>
      </w:r>
      <w:r w:rsidRPr="0043692A">
        <w:t xml:space="preserve"> greenhouse</w:t>
      </w:r>
      <w:r>
        <w:t xml:space="preserve"> gases</w:t>
      </w:r>
      <w:r w:rsidRPr="00E41751">
        <w:t xml:space="preserve"> from the atmosphere by </w:t>
      </w:r>
      <w:r>
        <w:t>storing</w:t>
      </w:r>
      <w:r w:rsidRPr="00E41751">
        <w:t xml:space="preserve"> it in living biomass, dead organic matter or soil (</w:t>
      </w:r>
      <w:r w:rsidRPr="00E55312">
        <w:rPr>
          <w:i/>
        </w:rPr>
        <w:t>Carbon Credits (Carbon Farming Initiative) Act 2011</w:t>
      </w:r>
      <w:r>
        <w:t xml:space="preserve"> (Cth)</w:t>
      </w:r>
      <w:r w:rsidRPr="00E41751">
        <w:t>).</w:t>
      </w:r>
    </w:p>
  </w:footnote>
  <w:footnote w:id="4">
    <w:p w14:paraId="0CE8A5F2" w14:textId="721B5A78" w:rsidR="00FA062E" w:rsidRDefault="00FA062E" w:rsidP="00022E60">
      <w:pPr>
        <w:pStyle w:val="Footnote"/>
      </w:pPr>
      <w:r w:rsidRPr="005E7B75">
        <w:rPr>
          <w:rStyle w:val="FootnoteReference"/>
          <w:sz w:val="18"/>
          <w:szCs w:val="18"/>
        </w:rPr>
        <w:footnoteRef/>
      </w:r>
      <w:r w:rsidRPr="005E7B75">
        <w:t xml:space="preserve"> There are </w:t>
      </w:r>
      <w:r>
        <w:t xml:space="preserve">another </w:t>
      </w:r>
      <w:r w:rsidRPr="005E7B75">
        <w:t>nine methods that currently have projects registered under them, but are no longer open to new project registrations.</w:t>
      </w:r>
    </w:p>
  </w:footnote>
  <w:footnote w:id="5">
    <w:p w14:paraId="29074B04" w14:textId="5BC55F7C" w:rsidR="00FA062E" w:rsidRDefault="00FA062E" w:rsidP="00B92173">
      <w:pPr>
        <w:pStyle w:val="Footnote"/>
      </w:pPr>
      <w:r>
        <w:rPr>
          <w:rStyle w:val="FootnoteReference"/>
        </w:rPr>
        <w:footnoteRef/>
      </w:r>
      <w:r>
        <w:t xml:space="preserve"> </w:t>
      </w:r>
      <w:r w:rsidRPr="00E55312">
        <w:t>A legislative rule is legislation</w:t>
      </w:r>
      <w:r>
        <w:t>,</w:t>
      </w:r>
      <w:r w:rsidRPr="00E55312">
        <w:t xml:space="preserve"> which supports the operation of an Act and can be implemented or amended without being passed by Parliament.</w:t>
      </w:r>
    </w:p>
  </w:footnote>
  <w:footnote w:id="6">
    <w:p w14:paraId="5432EB29" w14:textId="0D3F78C2" w:rsidR="00FA062E" w:rsidRPr="008E5983" w:rsidRDefault="00FA062E" w:rsidP="00AC7279">
      <w:pPr>
        <w:pStyle w:val="Footnote"/>
        <w:spacing w:after="40"/>
      </w:pPr>
      <w:r w:rsidRPr="008E5983">
        <w:rPr>
          <w:rStyle w:val="FootnoteReference"/>
        </w:rPr>
        <w:footnoteRef/>
      </w:r>
      <w:r w:rsidRPr="008E5983">
        <w:t xml:space="preserve"> </w:t>
      </w:r>
      <w:r w:rsidRPr="00B92173">
        <w:t>Plantation forestry projects have a 25 per cent discount to address a greater risk of a lack of permanence (</w:t>
      </w:r>
      <w:r w:rsidRPr="00B92173">
        <w:fldChar w:fldCharType="begin"/>
      </w:r>
      <w:r w:rsidRPr="00B92173">
        <w:instrText xml:space="preserve"> REF Box2 \h  \* MERGEFORMAT </w:instrText>
      </w:r>
      <w:r w:rsidRPr="00B92173">
        <w:fldChar w:fldCharType="separate"/>
      </w:r>
      <w:r w:rsidR="00FA2002" w:rsidRPr="005206CA">
        <w:t xml:space="preserve">Box </w:t>
      </w:r>
      <w:r w:rsidR="00FA2002">
        <w:t>2</w:t>
      </w:r>
      <w:r w:rsidRPr="00B92173">
        <w:fldChar w:fldCharType="end"/>
      </w:r>
      <w:r w:rsidRPr="00B92173">
        <w:t>).</w:t>
      </w:r>
    </w:p>
  </w:footnote>
  <w:footnote w:id="7">
    <w:p w14:paraId="40747137" w14:textId="57086BE3" w:rsidR="00FA062E" w:rsidRDefault="00FA062E" w:rsidP="009A25BD">
      <w:pPr>
        <w:pStyle w:val="Footnote"/>
      </w:pPr>
      <w:r w:rsidRPr="008E5983">
        <w:rPr>
          <w:rStyle w:val="FootnoteReference"/>
        </w:rPr>
        <w:footnoteRef/>
      </w:r>
      <w:r w:rsidRPr="008E5983">
        <w:rPr>
          <w:vertAlign w:val="superscript"/>
        </w:rPr>
        <w:t xml:space="preserve"> </w:t>
      </w:r>
      <w:r w:rsidRPr="00B92173">
        <w:t xml:space="preserve">See </w:t>
      </w:r>
      <w:r w:rsidRPr="00B92173">
        <w:fldChar w:fldCharType="begin"/>
      </w:r>
      <w:r w:rsidRPr="00B92173">
        <w:instrText xml:space="preserve"> REF _Ref500246222 \w \h  \* MERGEFORMAT </w:instrText>
      </w:r>
      <w:r w:rsidRPr="00B92173">
        <w:fldChar w:fldCharType="separate"/>
      </w:r>
      <w:r w:rsidR="00FA2002">
        <w:t>Chapter 8</w:t>
      </w:r>
      <w:r w:rsidRPr="00B92173">
        <w:fldChar w:fldCharType="end"/>
      </w:r>
      <w:r w:rsidRPr="00B92173">
        <w:t xml:space="preserve"> for an explanation of ERF crediting periods.</w:t>
      </w:r>
    </w:p>
  </w:footnote>
  <w:footnote w:id="8">
    <w:p w14:paraId="01E63520" w14:textId="77777777" w:rsidR="00FA062E" w:rsidRDefault="00FA062E" w:rsidP="00AC7279">
      <w:pPr>
        <w:pStyle w:val="FootnoteText"/>
        <w:spacing w:after="40"/>
      </w:pPr>
      <w:r w:rsidRPr="00B31206">
        <w:rPr>
          <w:rStyle w:val="FootnoteReference"/>
          <w:sz w:val="16"/>
          <w:szCs w:val="16"/>
        </w:rPr>
        <w:footnoteRef/>
      </w:r>
      <w:r w:rsidRPr="00B31206">
        <w:rPr>
          <w:sz w:val="16"/>
          <w:szCs w:val="16"/>
        </w:rPr>
        <w:t xml:space="preserve"> Since 2013, Professor Macintosh was Chair of the former Domestic Offsets Integrity Committee and he is currently the Chair of the Emissions Reduction Assurance Committee.</w:t>
      </w:r>
    </w:p>
  </w:footnote>
  <w:footnote w:id="9">
    <w:p w14:paraId="7790BFCC" w14:textId="77777777" w:rsidR="00FA062E" w:rsidRPr="00B31206" w:rsidRDefault="00FA062E" w:rsidP="003002AD">
      <w:pPr>
        <w:pStyle w:val="FootnoteText"/>
        <w:rPr>
          <w:sz w:val="16"/>
          <w:szCs w:val="16"/>
        </w:rPr>
      </w:pPr>
      <w:r w:rsidRPr="00B31206">
        <w:rPr>
          <w:rStyle w:val="FootnoteReference"/>
          <w:sz w:val="16"/>
          <w:szCs w:val="16"/>
        </w:rPr>
        <w:footnoteRef/>
      </w:r>
      <w:r w:rsidRPr="00B31206">
        <w:rPr>
          <w:sz w:val="16"/>
          <w:szCs w:val="16"/>
        </w:rPr>
        <w:t xml:space="preserve"> If </w:t>
      </w:r>
      <w:r>
        <w:rPr>
          <w:sz w:val="16"/>
          <w:szCs w:val="16"/>
        </w:rPr>
        <w:t xml:space="preserve">a </w:t>
      </w:r>
      <w:r w:rsidRPr="00B31206">
        <w:rPr>
          <w:sz w:val="16"/>
          <w:szCs w:val="16"/>
        </w:rPr>
        <w:t xml:space="preserve">project defers the start of its crediting period and the risk of reversal buffer is changed before the crediting period commences, the new risk of reversal buffer will apply to the project. </w:t>
      </w:r>
    </w:p>
  </w:footnote>
  <w:footnote w:id="10">
    <w:p w14:paraId="071AF7A4" w14:textId="77777777" w:rsidR="00FA062E" w:rsidRDefault="00FA062E" w:rsidP="00B92173">
      <w:pPr>
        <w:pStyle w:val="Footnote"/>
      </w:pPr>
      <w:r w:rsidRPr="002800B4">
        <w:rPr>
          <w:rStyle w:val="FootnoteReference"/>
        </w:rPr>
        <w:footnoteRef/>
      </w:r>
      <w:r w:rsidRPr="002800B4">
        <w:t xml:space="preserve"> In a reverse auction, the sellers compete to win the auction and prices will typically decrease as the sellers underbid each other.</w:t>
      </w:r>
      <w:r>
        <w:t xml:space="preserve"> </w:t>
      </w:r>
    </w:p>
    <w:p w14:paraId="309B02CE" w14:textId="77777777" w:rsidR="00FA062E" w:rsidRDefault="00FA062E">
      <w:pPr>
        <w:pStyle w:val="FootnoteText"/>
      </w:pPr>
    </w:p>
  </w:footnote>
  <w:footnote w:id="11">
    <w:p w14:paraId="2DC90FBE" w14:textId="4B7213BD" w:rsidR="00FA062E" w:rsidRDefault="00FA062E" w:rsidP="00AC7279">
      <w:pPr>
        <w:pStyle w:val="Footnote"/>
      </w:pPr>
      <w:r>
        <w:rPr>
          <w:rStyle w:val="FootnoteReference"/>
        </w:rPr>
        <w:footnoteRef/>
      </w:r>
      <w:r>
        <w:t xml:space="preserve"> The Authority since recommended that the Government consider a Clean Energy Target if it is unable to implement an emissions intensity scheme (</w:t>
      </w:r>
      <w:r w:rsidDel="005E6143">
        <w:t xml:space="preserve">AEMC </w:t>
      </w:r>
      <w:r>
        <w:t>&amp; CCA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5A556" w14:textId="126B00F5" w:rsidR="00FA062E" w:rsidRPr="009E4B7E" w:rsidRDefault="00FA062E">
    <w:pPr>
      <w:pStyle w:val="Header"/>
      <w:rPr>
        <w:color w:val="07425E"/>
        <w:sz w:val="12"/>
        <w:szCs w:val="12"/>
      </w:rPr>
    </w:pPr>
    <w:r w:rsidRPr="009E4B7E">
      <w:rPr>
        <w:color w:val="07425E"/>
        <w:sz w:val="12"/>
        <w:szCs w:val="12"/>
      </w:rPr>
      <w:fldChar w:fldCharType="begin"/>
    </w:r>
    <w:r w:rsidRPr="009E4B7E">
      <w:rPr>
        <w:color w:val="07425E"/>
        <w:sz w:val="12"/>
        <w:szCs w:val="12"/>
      </w:rPr>
      <w:instrText xml:space="preserve"> PAGE   \* MERGEFORMAT </w:instrText>
    </w:r>
    <w:r w:rsidRPr="009E4B7E">
      <w:rPr>
        <w:color w:val="07425E"/>
        <w:sz w:val="12"/>
        <w:szCs w:val="12"/>
      </w:rPr>
      <w:fldChar w:fldCharType="separate"/>
    </w:r>
    <w:r w:rsidR="00FA2002">
      <w:rPr>
        <w:noProof/>
        <w:color w:val="07425E"/>
        <w:sz w:val="12"/>
        <w:szCs w:val="12"/>
      </w:rPr>
      <w:t>14</w:t>
    </w:r>
    <w:r w:rsidRPr="009E4B7E">
      <w:rPr>
        <w:noProof/>
        <w:color w:val="07425E"/>
        <w:sz w:val="12"/>
        <w:szCs w:val="12"/>
      </w:rPr>
      <w:fldChar w:fldCharType="end"/>
    </w:r>
    <w:r w:rsidRPr="009E4B7E">
      <w:rPr>
        <w:noProof/>
        <w:color w:val="07425E"/>
        <w:sz w:val="12"/>
        <w:szCs w:val="12"/>
      </w:rPr>
      <w:t xml:space="preserve"> </w:t>
    </w:r>
    <w:r w:rsidRPr="009E4B7E">
      <w:rPr>
        <w:caps/>
        <w:noProof/>
        <w:color w:val="07425E"/>
        <w:sz w:val="12"/>
        <w:szCs w:val="12"/>
      </w:rPr>
      <w:fldChar w:fldCharType="begin"/>
    </w:r>
    <w:r w:rsidRPr="009E4B7E">
      <w:rPr>
        <w:caps/>
        <w:noProof/>
        <w:color w:val="07425E"/>
        <w:sz w:val="12"/>
        <w:szCs w:val="12"/>
      </w:rPr>
      <w:instrText xml:space="preserve"> STYLEREF  "Heading 1 (no number)"  \* MERGEFORMAT </w:instrText>
    </w:r>
    <w:r w:rsidRPr="009E4B7E">
      <w:rPr>
        <w:caps/>
        <w:noProof/>
        <w:color w:val="07425E"/>
        <w:sz w:val="12"/>
        <w:szCs w:val="12"/>
      </w:rPr>
      <w:fldChar w:fldCharType="separate"/>
    </w:r>
    <w:r w:rsidR="00FA2002">
      <w:rPr>
        <w:caps/>
        <w:noProof/>
        <w:color w:val="07425E"/>
        <w:sz w:val="12"/>
        <w:szCs w:val="12"/>
      </w:rPr>
      <w:t>List of recommendations</w:t>
    </w:r>
    <w:r w:rsidRPr="009E4B7E">
      <w:rPr>
        <w:caps/>
        <w:noProof/>
        <w:color w:val="07425E"/>
        <w:sz w:val="12"/>
        <w:szCs w:val="12"/>
      </w:rPr>
      <w:fldChar w:fldCharType="end"/>
    </w:r>
    <w:r w:rsidRPr="009E4B7E">
      <w:rPr>
        <w:noProof/>
        <w:color w:val="07425E"/>
        <w:sz w:val="12"/>
        <w:szCs w:val="1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FB1F5" w14:textId="34A849B2" w:rsidR="00FA062E" w:rsidRPr="009E4B7E" w:rsidRDefault="00FA062E" w:rsidP="009E4B7E">
    <w:pPr>
      <w:pStyle w:val="Header"/>
      <w:jc w:val="right"/>
      <w:rPr>
        <w:color w:val="07425E"/>
        <w:sz w:val="12"/>
        <w:szCs w:val="12"/>
      </w:rPr>
    </w:pPr>
    <w:r w:rsidRPr="009E4B7E">
      <w:rPr>
        <w:color w:val="07425E"/>
        <w:sz w:val="12"/>
        <w:szCs w:val="12"/>
      </w:rPr>
      <w:fldChar w:fldCharType="begin"/>
    </w:r>
    <w:r w:rsidRPr="009E4B7E">
      <w:rPr>
        <w:color w:val="07425E"/>
        <w:sz w:val="12"/>
        <w:szCs w:val="12"/>
      </w:rPr>
      <w:instrText xml:space="preserve"> TITLE  \* Upper  \* MERGEFORMAT </w:instrText>
    </w:r>
    <w:r w:rsidRPr="009E4B7E">
      <w:rPr>
        <w:color w:val="07425E"/>
        <w:sz w:val="12"/>
        <w:szCs w:val="12"/>
      </w:rPr>
      <w:fldChar w:fldCharType="separate"/>
    </w:r>
    <w:r w:rsidR="00FA2002">
      <w:rPr>
        <w:color w:val="07425E"/>
        <w:sz w:val="12"/>
        <w:szCs w:val="12"/>
      </w:rPr>
      <w:t>ERF REVIEW REPORT</w:t>
    </w:r>
    <w:r w:rsidRPr="009E4B7E">
      <w:rPr>
        <w:color w:val="07425E"/>
        <w:sz w:val="12"/>
        <w:szCs w:val="12"/>
      </w:rPr>
      <w:fldChar w:fldCharType="end"/>
    </w:r>
    <w:r w:rsidRPr="009E4B7E">
      <w:rPr>
        <w:color w:val="07425E"/>
        <w:sz w:val="12"/>
        <w:szCs w:val="12"/>
      </w:rPr>
      <w:t xml:space="preserve"> </w:t>
    </w:r>
    <w:r w:rsidRPr="009E4B7E">
      <w:rPr>
        <w:color w:val="07425E"/>
        <w:sz w:val="12"/>
        <w:szCs w:val="12"/>
      </w:rPr>
      <w:fldChar w:fldCharType="begin"/>
    </w:r>
    <w:r w:rsidRPr="009E4B7E">
      <w:rPr>
        <w:color w:val="07425E"/>
        <w:sz w:val="12"/>
        <w:szCs w:val="12"/>
      </w:rPr>
      <w:instrText xml:space="preserve"> PAGE   \* MERGEFORMAT </w:instrText>
    </w:r>
    <w:r w:rsidRPr="009E4B7E">
      <w:rPr>
        <w:color w:val="07425E"/>
        <w:sz w:val="12"/>
        <w:szCs w:val="12"/>
      </w:rPr>
      <w:fldChar w:fldCharType="separate"/>
    </w:r>
    <w:r w:rsidR="00FA2002">
      <w:rPr>
        <w:noProof/>
        <w:color w:val="07425E"/>
        <w:sz w:val="12"/>
        <w:szCs w:val="12"/>
      </w:rPr>
      <w:t>39</w:t>
    </w:r>
    <w:r w:rsidRPr="009E4B7E">
      <w:rPr>
        <w:noProof/>
        <w:color w:val="07425E"/>
        <w:sz w:val="12"/>
        <w:szCs w:val="1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F8748" w14:textId="54871F37" w:rsidR="00FA062E" w:rsidRDefault="00FA062E">
    <w:pPr>
      <w:pStyle w:val="Header"/>
    </w:pPr>
    <w:r w:rsidRPr="00A64C17">
      <w:rPr>
        <w:noProof/>
        <w:lang w:eastAsia="en-AU"/>
      </w:rPr>
      <w:drawing>
        <wp:anchor distT="0" distB="0" distL="114300" distR="114300" simplePos="0" relativeHeight="251658240" behindDoc="1" locked="0" layoutInCell="1" allowOverlap="1" wp14:anchorId="5EC572A5" wp14:editId="081318BE">
          <wp:simplePos x="0" y="0"/>
          <wp:positionH relativeFrom="margin">
            <wp:posOffset>-2317750</wp:posOffset>
          </wp:positionH>
          <wp:positionV relativeFrom="paragraph">
            <wp:posOffset>3504954</wp:posOffset>
          </wp:positionV>
          <wp:extent cx="9115200" cy="91116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rcRect/>
                  <a:stretch>
                    <a:fillRect/>
                  </a:stretch>
                </pic:blipFill>
                <pic:spPr bwMode="auto">
                  <a:xfrm>
                    <a:off x="0" y="0"/>
                    <a:ext cx="9115200" cy="91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6649" w14:textId="547838AC" w:rsidR="00FA062E" w:rsidRPr="009E4B7E" w:rsidRDefault="00FA062E">
    <w:pPr>
      <w:pStyle w:val="Header"/>
      <w:rPr>
        <w:color w:val="07425E"/>
        <w:sz w:val="12"/>
        <w:szCs w:val="12"/>
      </w:rPr>
    </w:pPr>
    <w:r w:rsidRPr="009E4B7E">
      <w:rPr>
        <w:color w:val="07425E"/>
        <w:sz w:val="12"/>
        <w:szCs w:val="12"/>
      </w:rPr>
      <w:fldChar w:fldCharType="begin"/>
    </w:r>
    <w:r w:rsidRPr="009E4B7E">
      <w:rPr>
        <w:color w:val="07425E"/>
        <w:sz w:val="12"/>
        <w:szCs w:val="12"/>
      </w:rPr>
      <w:instrText xml:space="preserve"> PAGE   \* MERGEFORMAT </w:instrText>
    </w:r>
    <w:r w:rsidRPr="009E4B7E">
      <w:rPr>
        <w:color w:val="07425E"/>
        <w:sz w:val="12"/>
        <w:szCs w:val="12"/>
      </w:rPr>
      <w:fldChar w:fldCharType="separate"/>
    </w:r>
    <w:r w:rsidR="00FA2002">
      <w:rPr>
        <w:noProof/>
        <w:color w:val="07425E"/>
        <w:sz w:val="12"/>
        <w:szCs w:val="12"/>
      </w:rPr>
      <w:t>40</w:t>
    </w:r>
    <w:r w:rsidRPr="009E4B7E">
      <w:rPr>
        <w:noProof/>
        <w:color w:val="07425E"/>
        <w:sz w:val="12"/>
        <w:szCs w:val="12"/>
      </w:rPr>
      <w:fldChar w:fldCharType="end"/>
    </w:r>
    <w:r w:rsidRPr="009E4B7E">
      <w:rPr>
        <w:noProof/>
        <w:color w:val="07425E"/>
        <w:sz w:val="12"/>
        <w:szCs w:val="12"/>
      </w:rPr>
      <w:t xml:space="preserve"> </w:t>
    </w:r>
    <w:r w:rsidRPr="009E4B7E">
      <w:rPr>
        <w:caps/>
        <w:noProof/>
        <w:color w:val="07425E"/>
        <w:sz w:val="12"/>
        <w:szCs w:val="12"/>
      </w:rPr>
      <w:fldChar w:fldCharType="begin"/>
    </w:r>
    <w:r w:rsidRPr="009E4B7E">
      <w:rPr>
        <w:caps/>
        <w:noProof/>
        <w:color w:val="07425E"/>
        <w:sz w:val="12"/>
        <w:szCs w:val="12"/>
      </w:rPr>
      <w:instrText xml:space="preserve"> STYLEREF  "Heading 1"  \* MERGEFORMAT </w:instrText>
    </w:r>
    <w:r w:rsidRPr="009E4B7E">
      <w:rPr>
        <w:caps/>
        <w:noProof/>
        <w:color w:val="07425E"/>
        <w:sz w:val="12"/>
        <w:szCs w:val="12"/>
      </w:rPr>
      <w:fldChar w:fldCharType="separate"/>
    </w:r>
    <w:r w:rsidR="00FA2002">
      <w:rPr>
        <w:caps/>
        <w:noProof/>
        <w:color w:val="07425E"/>
        <w:sz w:val="12"/>
        <w:szCs w:val="12"/>
      </w:rPr>
      <w:t>Additionality</w:t>
    </w:r>
    <w:r w:rsidRPr="009E4B7E">
      <w:rPr>
        <w:caps/>
        <w:noProof/>
        <w:color w:val="07425E"/>
        <w:sz w:val="12"/>
        <w:szCs w:val="1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A9D4" w14:textId="77777777" w:rsidR="00FA062E" w:rsidRPr="00CD2623" w:rsidRDefault="00FA062E" w:rsidP="003C5733">
    <w:pPr>
      <w:rPr>
        <w:color w:val="07425E"/>
        <w:sz w:val="12"/>
        <w:szCs w:val="12"/>
      </w:rPr>
    </w:pPr>
    <w:r w:rsidRPr="00FE0039">
      <w:rPr>
        <w:color w:val="07425E"/>
        <w:sz w:val="12"/>
        <w:szCs w:val="12"/>
      </w:rPr>
      <w:fldChar w:fldCharType="begin"/>
    </w:r>
    <w:r w:rsidRPr="00FE0039">
      <w:rPr>
        <w:color w:val="07425E"/>
        <w:sz w:val="12"/>
        <w:szCs w:val="12"/>
      </w:rPr>
      <w:instrText xml:space="preserve"> PAGE   \* MERGEFORMAT </w:instrText>
    </w:r>
    <w:r w:rsidRPr="00FE0039">
      <w:rPr>
        <w:color w:val="07425E"/>
        <w:sz w:val="12"/>
        <w:szCs w:val="12"/>
      </w:rPr>
      <w:fldChar w:fldCharType="separate"/>
    </w:r>
    <w:r w:rsidR="00FA2002">
      <w:rPr>
        <w:noProof/>
        <w:color w:val="07425E"/>
        <w:sz w:val="12"/>
        <w:szCs w:val="12"/>
      </w:rPr>
      <w:t>96</w:t>
    </w:r>
    <w:r w:rsidRPr="00FE0039">
      <w:rPr>
        <w:noProof/>
        <w:color w:val="07425E"/>
        <w:sz w:val="12"/>
        <w:szCs w:val="12"/>
      </w:rPr>
      <w:fldChar w:fldCharType="end"/>
    </w:r>
    <w:r>
      <w:rPr>
        <w:noProof/>
        <w:color w:val="07425E"/>
        <w:sz w:val="12"/>
        <w:szCs w:val="12"/>
      </w:rPr>
      <w:t xml:space="preserve"> </w:t>
    </w:r>
    <w:r>
      <w:rPr>
        <w:caps/>
        <w:color w:val="07425E"/>
        <w:sz w:val="12"/>
        <w:szCs w:val="12"/>
      </w:rPr>
      <w:fldChar w:fldCharType="begin"/>
    </w:r>
    <w:r>
      <w:rPr>
        <w:caps/>
        <w:color w:val="07425E"/>
        <w:sz w:val="12"/>
        <w:szCs w:val="12"/>
      </w:rPr>
      <w:instrText xml:space="preserve"> STYLEREF  "Heading 1"  \* MERGEFORMAT </w:instrText>
    </w:r>
    <w:r>
      <w:rPr>
        <w:caps/>
        <w:color w:val="07425E"/>
        <w:sz w:val="12"/>
        <w:szCs w:val="12"/>
      </w:rPr>
      <w:fldChar w:fldCharType="separate"/>
    </w:r>
    <w:r w:rsidR="00FA2002">
      <w:rPr>
        <w:caps/>
        <w:noProof/>
        <w:color w:val="07425E"/>
        <w:sz w:val="12"/>
        <w:szCs w:val="12"/>
      </w:rPr>
      <w:t>The future of the Emissions Reduction Fund</w:t>
    </w:r>
    <w:r>
      <w:rPr>
        <w:caps/>
        <w:color w:val="07425E"/>
        <w:sz w:val="12"/>
        <w:szCs w:val="12"/>
      </w:rPr>
      <w:fldChar w:fldCharType="end"/>
    </w:r>
    <w:r>
      <w:rPr>
        <w:caps/>
        <w:color w:val="07425E"/>
        <w:sz w:val="12"/>
        <w:szCs w:val="1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417B7" w14:textId="77777777" w:rsidR="00FA062E" w:rsidRPr="009B06EB" w:rsidRDefault="00FA062E" w:rsidP="009B06EB">
    <w:pPr>
      <w:jc w:val="right"/>
      <w:rPr>
        <w:color w:val="07425E"/>
        <w:sz w:val="12"/>
        <w:szCs w:val="12"/>
      </w:rPr>
    </w:pPr>
    <w:r w:rsidRPr="00FE0039">
      <w:rPr>
        <w:color w:val="07425E"/>
        <w:sz w:val="12"/>
        <w:szCs w:val="12"/>
      </w:rPr>
      <w:fldChar w:fldCharType="begin"/>
    </w:r>
    <w:r w:rsidRPr="00FE0039">
      <w:rPr>
        <w:color w:val="07425E"/>
        <w:sz w:val="12"/>
        <w:szCs w:val="12"/>
      </w:rPr>
      <w:instrText xml:space="preserve"> TITLE  \* Upper  \* MERGEFORMAT </w:instrText>
    </w:r>
    <w:r w:rsidRPr="00FE0039">
      <w:rPr>
        <w:color w:val="07425E"/>
        <w:sz w:val="12"/>
        <w:szCs w:val="12"/>
      </w:rPr>
      <w:fldChar w:fldCharType="separate"/>
    </w:r>
    <w:r w:rsidR="00FA2002">
      <w:rPr>
        <w:color w:val="07425E"/>
        <w:sz w:val="12"/>
        <w:szCs w:val="12"/>
      </w:rPr>
      <w:t>ERF REVIEW REPORT</w:t>
    </w:r>
    <w:r w:rsidRPr="00FE0039">
      <w:rPr>
        <w:color w:val="07425E"/>
        <w:sz w:val="12"/>
        <w:szCs w:val="12"/>
      </w:rPr>
      <w:fldChar w:fldCharType="end"/>
    </w:r>
    <w:r>
      <w:rPr>
        <w:color w:val="07425E"/>
        <w:sz w:val="12"/>
        <w:szCs w:val="12"/>
      </w:rPr>
      <w:t xml:space="preserve"> </w:t>
    </w:r>
    <w:r w:rsidRPr="00FE0039">
      <w:rPr>
        <w:color w:val="07425E"/>
        <w:sz w:val="12"/>
        <w:szCs w:val="12"/>
      </w:rPr>
      <w:fldChar w:fldCharType="begin"/>
    </w:r>
    <w:r w:rsidRPr="00FE0039">
      <w:rPr>
        <w:color w:val="07425E"/>
        <w:sz w:val="12"/>
        <w:szCs w:val="12"/>
      </w:rPr>
      <w:instrText xml:space="preserve"> PAGE   \* MERGEFORMAT </w:instrText>
    </w:r>
    <w:r w:rsidRPr="00FE0039">
      <w:rPr>
        <w:color w:val="07425E"/>
        <w:sz w:val="12"/>
        <w:szCs w:val="12"/>
      </w:rPr>
      <w:fldChar w:fldCharType="separate"/>
    </w:r>
    <w:r w:rsidR="00FA2002">
      <w:rPr>
        <w:noProof/>
        <w:color w:val="07425E"/>
        <w:sz w:val="12"/>
        <w:szCs w:val="12"/>
      </w:rPr>
      <w:t>115</w:t>
    </w:r>
    <w:r w:rsidRPr="00FE0039">
      <w:rPr>
        <w:noProof/>
        <w:color w:val="07425E"/>
        <w:sz w:val="12"/>
        <w:szCs w:val="1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37061" w14:textId="78F25CAA" w:rsidR="00FA062E" w:rsidRPr="00CD2623" w:rsidRDefault="00FA062E" w:rsidP="003C5733">
    <w:pPr>
      <w:rPr>
        <w:color w:val="07425E"/>
        <w:sz w:val="12"/>
        <w:szCs w:val="12"/>
      </w:rPr>
    </w:pPr>
    <w:r w:rsidRPr="00FE0039">
      <w:rPr>
        <w:color w:val="07425E"/>
        <w:sz w:val="12"/>
        <w:szCs w:val="12"/>
      </w:rPr>
      <w:fldChar w:fldCharType="begin"/>
    </w:r>
    <w:r w:rsidRPr="00FE0039">
      <w:rPr>
        <w:color w:val="07425E"/>
        <w:sz w:val="12"/>
        <w:szCs w:val="12"/>
      </w:rPr>
      <w:instrText xml:space="preserve"> PAGE   \* MERGEFORMAT </w:instrText>
    </w:r>
    <w:r w:rsidRPr="00FE0039">
      <w:rPr>
        <w:color w:val="07425E"/>
        <w:sz w:val="12"/>
        <w:szCs w:val="12"/>
      </w:rPr>
      <w:fldChar w:fldCharType="separate"/>
    </w:r>
    <w:r w:rsidR="00FA2002">
      <w:rPr>
        <w:noProof/>
        <w:color w:val="07425E"/>
        <w:sz w:val="12"/>
        <w:szCs w:val="12"/>
      </w:rPr>
      <w:t>116</w:t>
    </w:r>
    <w:r w:rsidRPr="00FE0039">
      <w:rPr>
        <w:noProof/>
        <w:color w:val="07425E"/>
        <w:sz w:val="12"/>
        <w:szCs w:val="12"/>
      </w:rPr>
      <w:fldChar w:fldCharType="end"/>
    </w:r>
    <w:r>
      <w:rPr>
        <w:noProof/>
        <w:color w:val="07425E"/>
        <w:sz w:val="12"/>
        <w:szCs w:val="12"/>
      </w:rPr>
      <w:t xml:space="preserve"> </w:t>
    </w:r>
    <w:r>
      <w:rPr>
        <w:caps/>
        <w:color w:val="07425E"/>
        <w:sz w:val="12"/>
        <w:szCs w:val="12"/>
      </w:rPr>
      <w:fldChar w:fldCharType="begin"/>
    </w:r>
    <w:r>
      <w:rPr>
        <w:caps/>
        <w:color w:val="07425E"/>
        <w:sz w:val="12"/>
        <w:szCs w:val="12"/>
      </w:rPr>
      <w:instrText xml:space="preserve"> STYLEREF  "Heading 1 (no number)"  \* MERGEFORMAT </w:instrText>
    </w:r>
    <w:r>
      <w:rPr>
        <w:caps/>
        <w:color w:val="07425E"/>
        <w:sz w:val="12"/>
        <w:szCs w:val="12"/>
      </w:rPr>
      <w:fldChar w:fldCharType="separate"/>
    </w:r>
    <w:r w:rsidR="00FA2002">
      <w:rPr>
        <w:caps/>
        <w:noProof/>
        <w:color w:val="07425E"/>
        <w:sz w:val="12"/>
        <w:szCs w:val="12"/>
      </w:rPr>
      <w:t>References</w:t>
    </w:r>
    <w:r>
      <w:rPr>
        <w:caps/>
        <w:color w:val="07425E"/>
        <w:sz w:val="12"/>
        <w:szCs w:val="1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CAE31" w14:textId="77777777" w:rsidR="00FA062E" w:rsidRPr="002D3E7B" w:rsidRDefault="00FA062E" w:rsidP="002D3E7B">
    <w:pPr>
      <w:jc w:val="right"/>
      <w:rPr>
        <w:color w:val="07425E"/>
        <w:sz w:val="12"/>
        <w:szCs w:val="12"/>
      </w:rPr>
    </w:pPr>
    <w:r>
      <w:rPr>
        <w:color w:val="07425E"/>
        <w:sz w:val="12"/>
        <w:szCs w:val="12"/>
      </w:rPr>
      <w:t xml:space="preserve"> </w:t>
    </w:r>
    <w:r>
      <w:rPr>
        <w:color w:val="07425E"/>
        <w:sz w:val="12"/>
        <w:szCs w:val="12"/>
      </w:rPr>
      <w:tab/>
    </w:r>
    <w:r w:rsidRPr="00FE0039">
      <w:rPr>
        <w:color w:val="07425E"/>
        <w:sz w:val="12"/>
        <w:szCs w:val="12"/>
      </w:rPr>
      <w:fldChar w:fldCharType="begin"/>
    </w:r>
    <w:r w:rsidRPr="00FE0039">
      <w:rPr>
        <w:color w:val="07425E"/>
        <w:sz w:val="12"/>
        <w:szCs w:val="12"/>
      </w:rPr>
      <w:instrText xml:space="preserve"> TITLE  \* Upper  \* MERGEFORMAT </w:instrText>
    </w:r>
    <w:r w:rsidRPr="00FE0039">
      <w:rPr>
        <w:color w:val="07425E"/>
        <w:sz w:val="12"/>
        <w:szCs w:val="12"/>
      </w:rPr>
      <w:fldChar w:fldCharType="separate"/>
    </w:r>
    <w:r w:rsidR="00FA2002">
      <w:rPr>
        <w:color w:val="07425E"/>
        <w:sz w:val="12"/>
        <w:szCs w:val="12"/>
      </w:rPr>
      <w:t>ERF REVIEW REPORT</w:t>
    </w:r>
    <w:r w:rsidRPr="00FE0039">
      <w:rPr>
        <w:color w:val="07425E"/>
        <w:sz w:val="12"/>
        <w:szCs w:val="12"/>
      </w:rPr>
      <w:fldChar w:fldCharType="end"/>
    </w:r>
    <w:r w:rsidRPr="00FE0039">
      <w:rPr>
        <w:color w:val="07425E"/>
        <w:sz w:val="12"/>
        <w:szCs w:val="12"/>
      </w:rPr>
      <w:t xml:space="preserve"> </w:t>
    </w:r>
    <w:r w:rsidRPr="00FE0039">
      <w:rPr>
        <w:color w:val="07425E"/>
        <w:sz w:val="12"/>
        <w:szCs w:val="12"/>
      </w:rPr>
      <w:fldChar w:fldCharType="begin"/>
    </w:r>
    <w:r w:rsidRPr="00FE0039">
      <w:rPr>
        <w:color w:val="07425E"/>
        <w:sz w:val="12"/>
        <w:szCs w:val="12"/>
      </w:rPr>
      <w:instrText xml:space="preserve"> PAGE   \* MERGEFORMAT </w:instrText>
    </w:r>
    <w:r w:rsidRPr="00FE0039">
      <w:rPr>
        <w:color w:val="07425E"/>
        <w:sz w:val="12"/>
        <w:szCs w:val="12"/>
      </w:rPr>
      <w:fldChar w:fldCharType="separate"/>
    </w:r>
    <w:r w:rsidR="00FA2002">
      <w:rPr>
        <w:noProof/>
        <w:color w:val="07425E"/>
        <w:sz w:val="12"/>
        <w:szCs w:val="12"/>
      </w:rPr>
      <w:t>110</w:t>
    </w:r>
    <w:r w:rsidRPr="00FE0039">
      <w:rPr>
        <w:noProof/>
        <w:color w:val="07425E"/>
        <w:sz w:val="12"/>
        <w:szCs w:val="1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FD022" w14:textId="77777777" w:rsidR="00FA062E" w:rsidRPr="003C5733" w:rsidRDefault="00FA062E" w:rsidP="00B926E9">
    <w:pPr>
      <w:rPr>
        <w:color w:val="07425E"/>
        <w:sz w:val="12"/>
        <w:szCs w:val="12"/>
      </w:rPr>
    </w:pPr>
    <w:r w:rsidRPr="0083311B">
      <w:rPr>
        <w:color w:val="07425E"/>
        <w:sz w:val="12"/>
        <w:szCs w:val="12"/>
      </w:rPr>
      <w:fldChar w:fldCharType="begin"/>
    </w:r>
    <w:r w:rsidRPr="0083311B">
      <w:rPr>
        <w:color w:val="07425E"/>
        <w:sz w:val="12"/>
        <w:szCs w:val="12"/>
      </w:rPr>
      <w:instrText xml:space="preserve"> PAGE   \* MERGEFORMAT </w:instrText>
    </w:r>
    <w:r w:rsidRPr="0083311B">
      <w:rPr>
        <w:color w:val="07425E"/>
        <w:sz w:val="12"/>
        <w:szCs w:val="12"/>
      </w:rPr>
      <w:fldChar w:fldCharType="separate"/>
    </w:r>
    <w:r w:rsidR="00FA2002">
      <w:rPr>
        <w:noProof/>
        <w:color w:val="07425E"/>
        <w:sz w:val="12"/>
        <w:szCs w:val="12"/>
      </w:rPr>
      <w:t>112</w:t>
    </w:r>
    <w:r w:rsidRPr="0083311B">
      <w:rPr>
        <w:noProof/>
        <w:color w:val="07425E"/>
        <w:sz w:val="12"/>
        <w:szCs w:val="12"/>
      </w:rPr>
      <w:fldChar w:fldCharType="end"/>
    </w:r>
    <w:r>
      <w:rPr>
        <w:noProof/>
        <w:color w:val="07425E"/>
        <w:sz w:val="12"/>
        <w:szCs w:val="12"/>
      </w:rPr>
      <w:t xml:space="preserve"> </w:t>
    </w:r>
    <w:r>
      <w:rPr>
        <w:caps/>
        <w:color w:val="07425E"/>
        <w:sz w:val="12"/>
        <w:szCs w:val="12"/>
      </w:rPr>
      <w:fldChar w:fldCharType="begin"/>
    </w:r>
    <w:r>
      <w:rPr>
        <w:caps/>
        <w:color w:val="07425E"/>
        <w:sz w:val="12"/>
        <w:szCs w:val="12"/>
      </w:rPr>
      <w:instrText xml:space="preserve"> STYLEREF  "Heading 1 (no number)"  \* MERGEFORMAT </w:instrText>
    </w:r>
    <w:r>
      <w:rPr>
        <w:caps/>
        <w:color w:val="07425E"/>
        <w:sz w:val="12"/>
        <w:szCs w:val="12"/>
      </w:rPr>
      <w:fldChar w:fldCharType="separate"/>
    </w:r>
    <w:r w:rsidR="00FA2002">
      <w:rPr>
        <w:caps/>
        <w:noProof/>
        <w:color w:val="07425E"/>
        <w:sz w:val="12"/>
        <w:szCs w:val="12"/>
      </w:rPr>
      <w:t>Glossary of terms</w:t>
    </w:r>
    <w:r>
      <w:rPr>
        <w:caps/>
        <w:color w:val="07425E"/>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4A1C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CBE7483"/>
    <w:multiLevelType w:val="multilevel"/>
    <w:tmpl w:val="A69E72BE"/>
    <w:numStyleLink w:val="Style3"/>
  </w:abstractNum>
  <w:abstractNum w:abstractNumId="3" w15:restartNumberingAfterBreak="0">
    <w:nsid w:val="1A6017AB"/>
    <w:multiLevelType w:val="multilevel"/>
    <w:tmpl w:val="2B62A638"/>
    <w:lvl w:ilvl="0">
      <w:start w:val="1"/>
      <w:numFmt w:val="decimal"/>
      <w:lvlText w:val="Chapter %1."/>
      <w:lvlJc w:val="left"/>
      <w:pPr>
        <w:ind w:left="432" w:hanging="432"/>
      </w:pPr>
      <w:rPr>
        <w:rFonts w:ascii="Arial Bold" w:hAnsi="Arial Bold" w:cs="Times New Roman" w:hint="default"/>
        <w:b/>
        <w:i w:val="0"/>
        <w:caps/>
        <w:color w:val="159DCE"/>
        <w:sz w:val="34"/>
      </w:rPr>
    </w:lvl>
    <w:lvl w:ilvl="1">
      <w:start w:val="1"/>
      <w:numFmt w:val="decimal"/>
      <w:lvlText w:val="%1.%2"/>
      <w:lvlJc w:val="left"/>
      <w:pPr>
        <w:ind w:left="576" w:hanging="576"/>
      </w:pPr>
      <w:rPr>
        <w:rFonts w:ascii="Arial Bold" w:hAnsi="Arial Bold" w:cs="Times New Roman" w:hint="default"/>
        <w:b/>
        <w:bCs w:val="0"/>
        <w:i w:val="0"/>
        <w:iCs w:val="0"/>
        <w:caps/>
        <w:smallCaps w:val="0"/>
        <w:strike w:val="0"/>
        <w:dstrike w:val="0"/>
        <w:noProof w:val="0"/>
        <w:vanish w:val="0"/>
        <w:webHidden w:val="0"/>
        <w:color w:val="159DCE"/>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cs="Times New Roman" w:hint="default"/>
        <w:b w:val="0"/>
        <w:i w:val="0"/>
        <w:color w:val="159DCE"/>
        <w:sz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D8087C"/>
    <w:multiLevelType w:val="hybridMultilevel"/>
    <w:tmpl w:val="7B0E4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242B483F"/>
    <w:multiLevelType w:val="hybridMultilevel"/>
    <w:tmpl w:val="A7805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817C43"/>
    <w:multiLevelType w:val="singleLevel"/>
    <w:tmpl w:val="B6D21A20"/>
    <w:lvl w:ilvl="0">
      <w:start w:val="1"/>
      <w:numFmt w:val="bullet"/>
      <w:pStyle w:val="ListBullet5"/>
      <w:lvlText w:val=""/>
      <w:lvlJc w:val="left"/>
      <w:pPr>
        <w:ind w:left="369" w:hanging="369"/>
      </w:pPr>
      <w:rPr>
        <w:rFonts w:ascii="Symbol" w:hAnsi="Symbol" w:hint="default"/>
        <w:color w:val="159DCE"/>
      </w:r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A473EF"/>
    <w:multiLevelType w:val="hybridMultilevel"/>
    <w:tmpl w:val="DDF6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6E786A"/>
    <w:multiLevelType w:val="hybridMultilevel"/>
    <w:tmpl w:val="3C2E2B56"/>
    <w:lvl w:ilvl="0" w:tplc="632034F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8561D29"/>
    <w:multiLevelType w:val="multilevel"/>
    <w:tmpl w:val="3DE4D58A"/>
    <w:lvl w:ilvl="0">
      <w:start w:val="1"/>
      <w:numFmt w:val="decimal"/>
      <w:lvlText w:val="Chapter %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00A312A"/>
    <w:multiLevelType w:val="multilevel"/>
    <w:tmpl w:val="CFA69D50"/>
    <w:lvl w:ilvl="0">
      <w:start w:val="1"/>
      <w:numFmt w:val="decimal"/>
      <w:lvlText w:val="Chapter %1."/>
      <w:lvlJc w:val="left"/>
      <w:pPr>
        <w:ind w:left="0" w:firstLine="0"/>
      </w:pPr>
      <w:rPr>
        <w:rFonts w:hint="default"/>
      </w:rPr>
    </w:lvl>
    <w:lvl w:ilvl="1">
      <w:start w:val="1"/>
      <w:numFmt w:val="decimal"/>
      <w:pStyle w:val="Heading2"/>
      <w:lvlText w:val="%1.%2"/>
      <w:lvlJc w:val="left"/>
      <w:pPr>
        <w:ind w:left="0" w:firstLine="0"/>
      </w:pPr>
      <w:rPr>
        <w:rFonts w:hint="default"/>
        <w:i w:val="0"/>
      </w:rPr>
    </w:lvl>
    <w:lvl w:ilvl="2">
      <w:start w:val="1"/>
      <w:numFmt w:val="decimal"/>
      <w:pStyle w:val="Heading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8E6CBA"/>
    <w:multiLevelType w:val="multilevel"/>
    <w:tmpl w:val="DD64BFB6"/>
    <w:styleLink w:val="ListBulletmaster"/>
    <w:lvl w:ilvl="0">
      <w:start w:val="1"/>
      <w:numFmt w:val="bullet"/>
      <w:lvlText w:val=""/>
      <w:lvlJc w:val="left"/>
      <w:pPr>
        <w:ind w:left="530" w:hanging="360"/>
      </w:pPr>
      <w:rPr>
        <w:rFonts w:ascii="Symbol" w:hAnsi="Symbol" w:hint="default"/>
        <w:color w:val="4F81BD" w:themeColor="accent1"/>
        <w:sz w:val="18"/>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5456429"/>
    <w:multiLevelType w:val="multilevel"/>
    <w:tmpl w:val="E898CC72"/>
    <w:numStyleLink w:val="KeyPoints"/>
  </w:abstractNum>
  <w:abstractNum w:abstractNumId="16" w15:restartNumberingAfterBreak="0">
    <w:nsid w:val="65E66C52"/>
    <w:multiLevelType w:val="multilevel"/>
    <w:tmpl w:val="BCDE3866"/>
    <w:lvl w:ilvl="0">
      <w:start w:val="1"/>
      <w:numFmt w:val="decimal"/>
      <w:lvlText w:val="Chapter %1."/>
      <w:lvlJc w:val="left"/>
      <w:pPr>
        <w:ind w:left="432" w:hanging="432"/>
      </w:pPr>
      <w:rPr>
        <w:rFonts w:ascii="Arial" w:hAnsi="Arial" w:cs="Arial" w:hint="default"/>
        <w:b/>
        <w:i w:val="0"/>
        <w:caps/>
        <w:color w:val="159DCE"/>
        <w:sz w:val="34"/>
      </w:rPr>
    </w:lvl>
    <w:lvl w:ilvl="1">
      <w:start w:val="1"/>
      <w:numFmt w:val="decimal"/>
      <w:lvlText w:val="%1.%2"/>
      <w:lvlJc w:val="left"/>
      <w:pPr>
        <w:ind w:left="576" w:hanging="576"/>
      </w:pPr>
      <w:rPr>
        <w:rFonts w:ascii="Arial" w:hAnsi="Arial" w:cs="Times New Roman" w:hint="default"/>
        <w:b/>
        <w:bCs w:val="0"/>
        <w:i w:val="0"/>
        <w:iCs w:val="0"/>
        <w:caps/>
        <w:smallCaps w:val="0"/>
        <w:strike w:val="0"/>
        <w:dstrike w:val="0"/>
        <w:vanish w:val="0"/>
        <w:color w:val="159DCE"/>
        <w:spacing w:val="0"/>
        <w:kern w:val="0"/>
        <w:position w:val="0"/>
        <w:sz w:val="22"/>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val="0"/>
        <w:i w:val="0"/>
        <w:color w:val="159DCE"/>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D65075"/>
    <w:multiLevelType w:val="multilevel"/>
    <w:tmpl w:val="A69E72BE"/>
    <w:styleLink w:val="Style3"/>
    <w:lvl w:ilvl="0">
      <w:start w:val="1"/>
      <w:numFmt w:val="decimal"/>
      <w:pStyle w:val="RecText"/>
      <w:lvlText w:val="R.%1."/>
      <w:lvlJc w:val="left"/>
      <w:pPr>
        <w:ind w:left="360" w:hanging="360"/>
      </w:pPr>
      <w:rPr>
        <w:rFonts w:ascii="Arial" w:hAnsi="Arial" w:cs="Times New Roman" w:hint="default"/>
        <w:b w:val="0"/>
        <w:i w:val="0"/>
        <w:caps w:val="0"/>
        <w:strike w:val="0"/>
        <w:dstrike w:val="0"/>
        <w:vanish w:val="0"/>
        <w:webHidden w:val="0"/>
        <w:sz w:val="21"/>
        <w:u w:val="none"/>
        <w:effect w:val="none"/>
        <w:vertAlign w:val="baseli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032444"/>
    <w:multiLevelType w:val="multilevel"/>
    <w:tmpl w:val="E5E89F92"/>
    <w:numStyleLink w:val="BulletList"/>
  </w:abstractNum>
  <w:abstractNum w:abstractNumId="20"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2" w15:restartNumberingAfterBreak="0">
    <w:nsid w:val="78AF35FA"/>
    <w:multiLevelType w:val="hybridMultilevel"/>
    <w:tmpl w:val="C5328AD8"/>
    <w:lvl w:ilvl="0" w:tplc="292A888C">
      <w:start w:val="1"/>
      <w:numFmt w:val="bullet"/>
      <w:pStyle w:val="ListBullet"/>
      <w:lvlText w:val=""/>
      <w:lvlJc w:val="left"/>
      <w:pPr>
        <w:ind w:left="720" w:hanging="360"/>
      </w:pPr>
      <w:rPr>
        <w:rFonts w:ascii="Symbol" w:hAnsi="Symbol" w:hint="default"/>
        <w:color w:val="159DC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9"/>
  </w:num>
  <w:num w:numId="4">
    <w:abstractNumId w:val="8"/>
  </w:num>
  <w:num w:numId="5">
    <w:abstractNumId w:val="15"/>
  </w:num>
  <w:num w:numId="6">
    <w:abstractNumId w:val="7"/>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6"/>
  </w:num>
  <w:num w:numId="14">
    <w:abstractNumId w:val="16"/>
  </w:num>
  <w:num w:numId="15">
    <w:abstractNumId w:val="7"/>
  </w:num>
  <w:num w:numId="16">
    <w:abstractNumId w:val="7"/>
  </w:num>
  <w:num w:numId="17">
    <w:abstractNumId w:val="16"/>
  </w:num>
  <w:num w:numId="18">
    <w:abstractNumId w:val="14"/>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2"/>
  </w:num>
  <w:num w:numId="25">
    <w:abstractNumId w:val="20"/>
  </w:num>
  <w:num w:numId="26">
    <w:abstractNumId w:val="17"/>
  </w:num>
  <w:num w:numId="27">
    <w:abstractNumId w:val="19"/>
  </w:num>
  <w:num w:numId="28">
    <w:abstractNumId w:val="0"/>
  </w:num>
  <w:num w:numId="29">
    <w:abstractNumId w:val="2"/>
    <w:lvlOverride w:ilvl="0">
      <w:lvl w:ilvl="0">
        <w:start w:val="1"/>
        <w:numFmt w:val="decimal"/>
        <w:lvlText w:val="R.%1."/>
        <w:lvlJc w:val="left"/>
        <w:pPr>
          <w:ind w:left="360" w:hanging="360"/>
        </w:pPr>
        <w:rPr>
          <w:rFonts w:ascii="Arial" w:hAnsi="Arial" w:hint="default"/>
          <w:b w:val="0"/>
          <w:i w:val="0"/>
          <w:caps w:val="0"/>
          <w:strike w:val="0"/>
          <w:dstrike w:val="0"/>
          <w:vanish w:val="0"/>
          <w:sz w:val="18"/>
          <w:vertAlign w:val="baseline"/>
        </w:rPr>
      </w:lvl>
    </w:lvlOverride>
  </w:num>
  <w:num w:numId="30">
    <w:abstractNumId w:val="6"/>
  </w:num>
  <w:num w:numId="31">
    <w:abstractNumId w:val="10"/>
  </w:num>
  <w:num w:numId="32">
    <w:abstractNumId w:val="4"/>
  </w:num>
  <w:num w:numId="33">
    <w:abstractNumId w:val="3"/>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6"/>
  </w:num>
  <w:num w:numId="39">
    <w:abstractNumId w:val="16"/>
  </w:num>
  <w:num w:numId="40">
    <w:abstractNumId w:val="16"/>
  </w:num>
  <w:num w:numId="41">
    <w:abstractNumId w:val="16"/>
  </w:num>
  <w:num w:numId="42">
    <w:abstractNumId w:val="11"/>
  </w:num>
  <w:num w:numId="43">
    <w:abstractNumId w:val="12"/>
  </w:num>
  <w:num w:numId="44">
    <w:abstractNumId w:val="13"/>
  </w:num>
  <w:num w:numId="45">
    <w:abstractNumId w:val="13"/>
  </w:num>
  <w:num w:numId="46">
    <w:abstractNumId w:val="22"/>
  </w:num>
  <w:num w:numId="47">
    <w:abstractNumId w:val="13"/>
  </w:num>
  <w:num w:numId="48">
    <w:abstractNumId w:val="13"/>
  </w:num>
  <w:num w:numId="49">
    <w:abstractNumId w:val="13"/>
  </w:num>
  <w:num w:numId="50">
    <w:abstractNumId w:val="13"/>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284"/>
  <w:evenAndOddHeaders/>
  <w:drawingGridHorizontalSpacing w:val="110"/>
  <w:displayHorizontalDrawingGridEvery w:val="2"/>
  <w:displayVerticalDrawingGridEvery w:val="2"/>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6D0CD4"/>
    <w:rsid w:val="00000E90"/>
    <w:rsid w:val="000010DB"/>
    <w:rsid w:val="00001BBC"/>
    <w:rsid w:val="00001E29"/>
    <w:rsid w:val="000029DF"/>
    <w:rsid w:val="00002C27"/>
    <w:rsid w:val="00002DC7"/>
    <w:rsid w:val="00003057"/>
    <w:rsid w:val="00004089"/>
    <w:rsid w:val="00004AEE"/>
    <w:rsid w:val="000058E9"/>
    <w:rsid w:val="0000597F"/>
    <w:rsid w:val="00005CAA"/>
    <w:rsid w:val="000069F2"/>
    <w:rsid w:val="0000715B"/>
    <w:rsid w:val="00010210"/>
    <w:rsid w:val="00010AE7"/>
    <w:rsid w:val="00012D66"/>
    <w:rsid w:val="0001385B"/>
    <w:rsid w:val="000150C8"/>
    <w:rsid w:val="0001584E"/>
    <w:rsid w:val="00015ADA"/>
    <w:rsid w:val="00015E3A"/>
    <w:rsid w:val="000161A6"/>
    <w:rsid w:val="0001669F"/>
    <w:rsid w:val="0001705A"/>
    <w:rsid w:val="000203E9"/>
    <w:rsid w:val="00020C99"/>
    <w:rsid w:val="0002132E"/>
    <w:rsid w:val="00022816"/>
    <w:rsid w:val="00022E60"/>
    <w:rsid w:val="00022FC3"/>
    <w:rsid w:val="00024CAC"/>
    <w:rsid w:val="00024D18"/>
    <w:rsid w:val="0002565C"/>
    <w:rsid w:val="000257BC"/>
    <w:rsid w:val="00026BE9"/>
    <w:rsid w:val="0002707B"/>
    <w:rsid w:val="000276E9"/>
    <w:rsid w:val="00030B7E"/>
    <w:rsid w:val="00030C32"/>
    <w:rsid w:val="00031246"/>
    <w:rsid w:val="0003152C"/>
    <w:rsid w:val="0003652A"/>
    <w:rsid w:val="00036DC9"/>
    <w:rsid w:val="000372A7"/>
    <w:rsid w:val="0003779C"/>
    <w:rsid w:val="00037FEA"/>
    <w:rsid w:val="00040C83"/>
    <w:rsid w:val="00041293"/>
    <w:rsid w:val="00044758"/>
    <w:rsid w:val="000451BA"/>
    <w:rsid w:val="00045F75"/>
    <w:rsid w:val="000460B3"/>
    <w:rsid w:val="00046263"/>
    <w:rsid w:val="00046C36"/>
    <w:rsid w:val="00047177"/>
    <w:rsid w:val="00047E2B"/>
    <w:rsid w:val="00050F90"/>
    <w:rsid w:val="0005100F"/>
    <w:rsid w:val="00051235"/>
    <w:rsid w:val="0005148E"/>
    <w:rsid w:val="00053105"/>
    <w:rsid w:val="0005310A"/>
    <w:rsid w:val="0005480B"/>
    <w:rsid w:val="000560AC"/>
    <w:rsid w:val="00056722"/>
    <w:rsid w:val="000570A7"/>
    <w:rsid w:val="00061225"/>
    <w:rsid w:val="00062355"/>
    <w:rsid w:val="00065DD5"/>
    <w:rsid w:val="0006626D"/>
    <w:rsid w:val="00067013"/>
    <w:rsid w:val="000676BC"/>
    <w:rsid w:val="0007060A"/>
    <w:rsid w:val="000720D8"/>
    <w:rsid w:val="00072C5A"/>
    <w:rsid w:val="000759E5"/>
    <w:rsid w:val="000775DD"/>
    <w:rsid w:val="00084AC6"/>
    <w:rsid w:val="00085A83"/>
    <w:rsid w:val="000869C6"/>
    <w:rsid w:val="00090D42"/>
    <w:rsid w:val="00090DEA"/>
    <w:rsid w:val="00090EC5"/>
    <w:rsid w:val="00091608"/>
    <w:rsid w:val="0009241B"/>
    <w:rsid w:val="0009333C"/>
    <w:rsid w:val="00094A59"/>
    <w:rsid w:val="0009623B"/>
    <w:rsid w:val="000964B3"/>
    <w:rsid w:val="0009704F"/>
    <w:rsid w:val="000A0655"/>
    <w:rsid w:val="000A0F11"/>
    <w:rsid w:val="000A125A"/>
    <w:rsid w:val="000A229A"/>
    <w:rsid w:val="000A3118"/>
    <w:rsid w:val="000A3518"/>
    <w:rsid w:val="000A3D1F"/>
    <w:rsid w:val="000A522E"/>
    <w:rsid w:val="000A52E4"/>
    <w:rsid w:val="000A57CD"/>
    <w:rsid w:val="000A597E"/>
    <w:rsid w:val="000A5B1C"/>
    <w:rsid w:val="000A6216"/>
    <w:rsid w:val="000A779C"/>
    <w:rsid w:val="000A796E"/>
    <w:rsid w:val="000A7E8A"/>
    <w:rsid w:val="000B01D8"/>
    <w:rsid w:val="000B2EB7"/>
    <w:rsid w:val="000B3758"/>
    <w:rsid w:val="000B3CBB"/>
    <w:rsid w:val="000B3F16"/>
    <w:rsid w:val="000B56B8"/>
    <w:rsid w:val="000B6F6F"/>
    <w:rsid w:val="000B7681"/>
    <w:rsid w:val="000B7B42"/>
    <w:rsid w:val="000C02B7"/>
    <w:rsid w:val="000C12EB"/>
    <w:rsid w:val="000C2FD3"/>
    <w:rsid w:val="000C40B6"/>
    <w:rsid w:val="000C4788"/>
    <w:rsid w:val="000C5100"/>
    <w:rsid w:val="000C51DD"/>
    <w:rsid w:val="000C52D2"/>
    <w:rsid w:val="000C5342"/>
    <w:rsid w:val="000C706A"/>
    <w:rsid w:val="000C70BD"/>
    <w:rsid w:val="000C7CD5"/>
    <w:rsid w:val="000D2887"/>
    <w:rsid w:val="000D4A4A"/>
    <w:rsid w:val="000D5353"/>
    <w:rsid w:val="000D6D63"/>
    <w:rsid w:val="000D78DD"/>
    <w:rsid w:val="000E0081"/>
    <w:rsid w:val="000E07CF"/>
    <w:rsid w:val="000E0B14"/>
    <w:rsid w:val="000E120E"/>
    <w:rsid w:val="000E31C1"/>
    <w:rsid w:val="000E4DC7"/>
    <w:rsid w:val="000E5331"/>
    <w:rsid w:val="000E6447"/>
    <w:rsid w:val="000E6CCB"/>
    <w:rsid w:val="000E6D13"/>
    <w:rsid w:val="000E7137"/>
    <w:rsid w:val="000F08DE"/>
    <w:rsid w:val="000F0CD2"/>
    <w:rsid w:val="000F1753"/>
    <w:rsid w:val="000F2CF2"/>
    <w:rsid w:val="000F4818"/>
    <w:rsid w:val="000F514E"/>
    <w:rsid w:val="000F56EB"/>
    <w:rsid w:val="000F621B"/>
    <w:rsid w:val="000F74F1"/>
    <w:rsid w:val="000F792B"/>
    <w:rsid w:val="00100497"/>
    <w:rsid w:val="00100B92"/>
    <w:rsid w:val="00100BEF"/>
    <w:rsid w:val="00102D90"/>
    <w:rsid w:val="001036D8"/>
    <w:rsid w:val="00104489"/>
    <w:rsid w:val="001047B4"/>
    <w:rsid w:val="00105A5F"/>
    <w:rsid w:val="001077ED"/>
    <w:rsid w:val="00107B9F"/>
    <w:rsid w:val="0011079C"/>
    <w:rsid w:val="00111326"/>
    <w:rsid w:val="0011210B"/>
    <w:rsid w:val="00112A29"/>
    <w:rsid w:val="00112B73"/>
    <w:rsid w:val="0011498E"/>
    <w:rsid w:val="0011657A"/>
    <w:rsid w:val="0011790A"/>
    <w:rsid w:val="00117A45"/>
    <w:rsid w:val="00117E81"/>
    <w:rsid w:val="001200BE"/>
    <w:rsid w:val="00120680"/>
    <w:rsid w:val="00120927"/>
    <w:rsid w:val="00120B3D"/>
    <w:rsid w:val="001213C9"/>
    <w:rsid w:val="001224AE"/>
    <w:rsid w:val="00123DAE"/>
    <w:rsid w:val="0012475B"/>
    <w:rsid w:val="001258A7"/>
    <w:rsid w:val="00125A31"/>
    <w:rsid w:val="001265D0"/>
    <w:rsid w:val="00126727"/>
    <w:rsid w:val="00126DF6"/>
    <w:rsid w:val="00132282"/>
    <w:rsid w:val="0013241F"/>
    <w:rsid w:val="00133102"/>
    <w:rsid w:val="001331A2"/>
    <w:rsid w:val="0013330C"/>
    <w:rsid w:val="001337D4"/>
    <w:rsid w:val="001340CC"/>
    <w:rsid w:val="00135A8E"/>
    <w:rsid w:val="001374F3"/>
    <w:rsid w:val="00137D02"/>
    <w:rsid w:val="001429CD"/>
    <w:rsid w:val="00142FC7"/>
    <w:rsid w:val="00143C2B"/>
    <w:rsid w:val="00144AAD"/>
    <w:rsid w:val="00144E80"/>
    <w:rsid w:val="001455B1"/>
    <w:rsid w:val="0014562D"/>
    <w:rsid w:val="001458BC"/>
    <w:rsid w:val="00146060"/>
    <w:rsid w:val="00147C12"/>
    <w:rsid w:val="0015108C"/>
    <w:rsid w:val="00151414"/>
    <w:rsid w:val="001527A1"/>
    <w:rsid w:val="001530DC"/>
    <w:rsid w:val="001538A7"/>
    <w:rsid w:val="0015494E"/>
    <w:rsid w:val="00154989"/>
    <w:rsid w:val="00155A9F"/>
    <w:rsid w:val="00155D62"/>
    <w:rsid w:val="001563DF"/>
    <w:rsid w:val="00157DAE"/>
    <w:rsid w:val="00160262"/>
    <w:rsid w:val="0016036A"/>
    <w:rsid w:val="001614DE"/>
    <w:rsid w:val="001621F9"/>
    <w:rsid w:val="00162846"/>
    <w:rsid w:val="00162D51"/>
    <w:rsid w:val="0016541E"/>
    <w:rsid w:val="00166849"/>
    <w:rsid w:val="00166927"/>
    <w:rsid w:val="00166A08"/>
    <w:rsid w:val="0016766C"/>
    <w:rsid w:val="0016780A"/>
    <w:rsid w:val="0017071F"/>
    <w:rsid w:val="00170C7C"/>
    <w:rsid w:val="001713FA"/>
    <w:rsid w:val="001717E2"/>
    <w:rsid w:val="0017212D"/>
    <w:rsid w:val="001724EC"/>
    <w:rsid w:val="00172B66"/>
    <w:rsid w:val="00173EBF"/>
    <w:rsid w:val="001744BB"/>
    <w:rsid w:val="00174D88"/>
    <w:rsid w:val="0017519D"/>
    <w:rsid w:val="00175ED3"/>
    <w:rsid w:val="00176891"/>
    <w:rsid w:val="00180227"/>
    <w:rsid w:val="00180455"/>
    <w:rsid w:val="00180FF4"/>
    <w:rsid w:val="001811E2"/>
    <w:rsid w:val="00181628"/>
    <w:rsid w:val="001816FC"/>
    <w:rsid w:val="00182225"/>
    <w:rsid w:val="00182ECB"/>
    <w:rsid w:val="001830A1"/>
    <w:rsid w:val="001833AC"/>
    <w:rsid w:val="001842A2"/>
    <w:rsid w:val="00184862"/>
    <w:rsid w:val="00186F01"/>
    <w:rsid w:val="00187B03"/>
    <w:rsid w:val="00187FA8"/>
    <w:rsid w:val="00192F5E"/>
    <w:rsid w:val="0019307C"/>
    <w:rsid w:val="00193A87"/>
    <w:rsid w:val="00194197"/>
    <w:rsid w:val="001945FA"/>
    <w:rsid w:val="001947C8"/>
    <w:rsid w:val="001948CC"/>
    <w:rsid w:val="00194D1F"/>
    <w:rsid w:val="00194D2D"/>
    <w:rsid w:val="00195178"/>
    <w:rsid w:val="001957FF"/>
    <w:rsid w:val="00196707"/>
    <w:rsid w:val="0019672E"/>
    <w:rsid w:val="00196806"/>
    <w:rsid w:val="00197772"/>
    <w:rsid w:val="00197ABC"/>
    <w:rsid w:val="00197BDD"/>
    <w:rsid w:val="001A3D97"/>
    <w:rsid w:val="001A3F98"/>
    <w:rsid w:val="001A49F0"/>
    <w:rsid w:val="001A51C8"/>
    <w:rsid w:val="001A57C7"/>
    <w:rsid w:val="001B083C"/>
    <w:rsid w:val="001B285A"/>
    <w:rsid w:val="001B4CA8"/>
    <w:rsid w:val="001B5EA1"/>
    <w:rsid w:val="001B5FEF"/>
    <w:rsid w:val="001B6982"/>
    <w:rsid w:val="001C0B3C"/>
    <w:rsid w:val="001C1BDA"/>
    <w:rsid w:val="001C2696"/>
    <w:rsid w:val="001C2A96"/>
    <w:rsid w:val="001C391A"/>
    <w:rsid w:val="001C3CC1"/>
    <w:rsid w:val="001C450E"/>
    <w:rsid w:val="001C4743"/>
    <w:rsid w:val="001C4B1F"/>
    <w:rsid w:val="001C4F3D"/>
    <w:rsid w:val="001C50AE"/>
    <w:rsid w:val="001C6F0F"/>
    <w:rsid w:val="001C72D3"/>
    <w:rsid w:val="001D0465"/>
    <w:rsid w:val="001D0CDC"/>
    <w:rsid w:val="001D1168"/>
    <w:rsid w:val="001D13A3"/>
    <w:rsid w:val="001D18E2"/>
    <w:rsid w:val="001D1D82"/>
    <w:rsid w:val="001D24DB"/>
    <w:rsid w:val="001D4B10"/>
    <w:rsid w:val="001D4E3F"/>
    <w:rsid w:val="001D6C10"/>
    <w:rsid w:val="001E1182"/>
    <w:rsid w:val="001E1DD5"/>
    <w:rsid w:val="001E3C5C"/>
    <w:rsid w:val="001E4A34"/>
    <w:rsid w:val="001E4AA1"/>
    <w:rsid w:val="001E527C"/>
    <w:rsid w:val="001E5D49"/>
    <w:rsid w:val="001E5DF7"/>
    <w:rsid w:val="001E71B0"/>
    <w:rsid w:val="001E734D"/>
    <w:rsid w:val="001E749B"/>
    <w:rsid w:val="001F0DD4"/>
    <w:rsid w:val="001F2220"/>
    <w:rsid w:val="001F3FD3"/>
    <w:rsid w:val="001F4066"/>
    <w:rsid w:val="001F579B"/>
    <w:rsid w:val="001F636F"/>
    <w:rsid w:val="001F6705"/>
    <w:rsid w:val="001F6BFA"/>
    <w:rsid w:val="001F7520"/>
    <w:rsid w:val="001F7616"/>
    <w:rsid w:val="002000D2"/>
    <w:rsid w:val="002003D1"/>
    <w:rsid w:val="00201E41"/>
    <w:rsid w:val="00201FE4"/>
    <w:rsid w:val="00202C90"/>
    <w:rsid w:val="00204819"/>
    <w:rsid w:val="002051C8"/>
    <w:rsid w:val="00205411"/>
    <w:rsid w:val="00205766"/>
    <w:rsid w:val="00206F84"/>
    <w:rsid w:val="0020724E"/>
    <w:rsid w:val="002079DF"/>
    <w:rsid w:val="0021051F"/>
    <w:rsid w:val="002135B1"/>
    <w:rsid w:val="00213DE8"/>
    <w:rsid w:val="0021580F"/>
    <w:rsid w:val="00216118"/>
    <w:rsid w:val="002173E0"/>
    <w:rsid w:val="002174C2"/>
    <w:rsid w:val="00217E05"/>
    <w:rsid w:val="0022023E"/>
    <w:rsid w:val="002209AB"/>
    <w:rsid w:val="00221E06"/>
    <w:rsid w:val="00221E4E"/>
    <w:rsid w:val="00222698"/>
    <w:rsid w:val="00223BAC"/>
    <w:rsid w:val="002251E3"/>
    <w:rsid w:val="00225E40"/>
    <w:rsid w:val="00227A95"/>
    <w:rsid w:val="0023118B"/>
    <w:rsid w:val="002316BD"/>
    <w:rsid w:val="00232524"/>
    <w:rsid w:val="002326C4"/>
    <w:rsid w:val="00233919"/>
    <w:rsid w:val="00233EF1"/>
    <w:rsid w:val="00234665"/>
    <w:rsid w:val="002352C5"/>
    <w:rsid w:val="00236CD5"/>
    <w:rsid w:val="0024076B"/>
    <w:rsid w:val="00243683"/>
    <w:rsid w:val="00243B19"/>
    <w:rsid w:val="002444FD"/>
    <w:rsid w:val="00244DBF"/>
    <w:rsid w:val="00244F84"/>
    <w:rsid w:val="00246090"/>
    <w:rsid w:val="0024716F"/>
    <w:rsid w:val="002473FC"/>
    <w:rsid w:val="00250193"/>
    <w:rsid w:val="002524B1"/>
    <w:rsid w:val="00252E3C"/>
    <w:rsid w:val="00253A52"/>
    <w:rsid w:val="002553C1"/>
    <w:rsid w:val="00255768"/>
    <w:rsid w:val="002561A0"/>
    <w:rsid w:val="00256935"/>
    <w:rsid w:val="0026051F"/>
    <w:rsid w:val="002612B8"/>
    <w:rsid w:val="00261E01"/>
    <w:rsid w:val="0026211E"/>
    <w:rsid w:val="0026213D"/>
    <w:rsid w:val="00262198"/>
    <w:rsid w:val="0026581C"/>
    <w:rsid w:val="002660AF"/>
    <w:rsid w:val="002662CD"/>
    <w:rsid w:val="00266F9A"/>
    <w:rsid w:val="00267565"/>
    <w:rsid w:val="00267FD8"/>
    <w:rsid w:val="00270950"/>
    <w:rsid w:val="00270C33"/>
    <w:rsid w:val="002734EA"/>
    <w:rsid w:val="002759CD"/>
    <w:rsid w:val="002763E4"/>
    <w:rsid w:val="00276801"/>
    <w:rsid w:val="00277AD5"/>
    <w:rsid w:val="002800B4"/>
    <w:rsid w:val="00280F6C"/>
    <w:rsid w:val="002816CA"/>
    <w:rsid w:val="00283760"/>
    <w:rsid w:val="00283862"/>
    <w:rsid w:val="00285D61"/>
    <w:rsid w:val="00285E51"/>
    <w:rsid w:val="00285F1B"/>
    <w:rsid w:val="002874CD"/>
    <w:rsid w:val="002877CF"/>
    <w:rsid w:val="0028794A"/>
    <w:rsid w:val="00290A55"/>
    <w:rsid w:val="00291A8E"/>
    <w:rsid w:val="002920F2"/>
    <w:rsid w:val="0029265F"/>
    <w:rsid w:val="00292B81"/>
    <w:rsid w:val="00293140"/>
    <w:rsid w:val="002935A0"/>
    <w:rsid w:val="0029436D"/>
    <w:rsid w:val="00296315"/>
    <w:rsid w:val="002A13D6"/>
    <w:rsid w:val="002A1A2B"/>
    <w:rsid w:val="002A1ADB"/>
    <w:rsid w:val="002A3448"/>
    <w:rsid w:val="002A46E8"/>
    <w:rsid w:val="002A643B"/>
    <w:rsid w:val="002A74E0"/>
    <w:rsid w:val="002B019D"/>
    <w:rsid w:val="002B18AE"/>
    <w:rsid w:val="002B399D"/>
    <w:rsid w:val="002B40D4"/>
    <w:rsid w:val="002B4C32"/>
    <w:rsid w:val="002B73FA"/>
    <w:rsid w:val="002B7A22"/>
    <w:rsid w:val="002B7B1D"/>
    <w:rsid w:val="002C00A0"/>
    <w:rsid w:val="002C04B6"/>
    <w:rsid w:val="002C0CC1"/>
    <w:rsid w:val="002C1C93"/>
    <w:rsid w:val="002C203F"/>
    <w:rsid w:val="002C2D55"/>
    <w:rsid w:val="002C3135"/>
    <w:rsid w:val="002C31EE"/>
    <w:rsid w:val="002C3B7E"/>
    <w:rsid w:val="002C4061"/>
    <w:rsid w:val="002C44BE"/>
    <w:rsid w:val="002C5066"/>
    <w:rsid w:val="002C5813"/>
    <w:rsid w:val="002C7ED4"/>
    <w:rsid w:val="002D3BFA"/>
    <w:rsid w:val="002D3E7B"/>
    <w:rsid w:val="002D48C7"/>
    <w:rsid w:val="002D4AAC"/>
    <w:rsid w:val="002D5197"/>
    <w:rsid w:val="002D7994"/>
    <w:rsid w:val="002D7D3E"/>
    <w:rsid w:val="002E0D8E"/>
    <w:rsid w:val="002E0F46"/>
    <w:rsid w:val="002E14E2"/>
    <w:rsid w:val="002E28CE"/>
    <w:rsid w:val="002E3D02"/>
    <w:rsid w:val="002E4FA2"/>
    <w:rsid w:val="002E58EA"/>
    <w:rsid w:val="002E6EE0"/>
    <w:rsid w:val="002E705C"/>
    <w:rsid w:val="002E7D1E"/>
    <w:rsid w:val="002F0159"/>
    <w:rsid w:val="002F045A"/>
    <w:rsid w:val="002F0643"/>
    <w:rsid w:val="002F0CB5"/>
    <w:rsid w:val="002F0F60"/>
    <w:rsid w:val="002F1C7A"/>
    <w:rsid w:val="002F2BBD"/>
    <w:rsid w:val="002F45CA"/>
    <w:rsid w:val="002F59A7"/>
    <w:rsid w:val="002F5F63"/>
    <w:rsid w:val="002F6EEC"/>
    <w:rsid w:val="002F7466"/>
    <w:rsid w:val="003002AD"/>
    <w:rsid w:val="0030039D"/>
    <w:rsid w:val="003006D6"/>
    <w:rsid w:val="003013C5"/>
    <w:rsid w:val="00301491"/>
    <w:rsid w:val="00301DC7"/>
    <w:rsid w:val="00303137"/>
    <w:rsid w:val="0030326F"/>
    <w:rsid w:val="00307294"/>
    <w:rsid w:val="00310701"/>
    <w:rsid w:val="0031216F"/>
    <w:rsid w:val="00312CC0"/>
    <w:rsid w:val="00313132"/>
    <w:rsid w:val="0031316A"/>
    <w:rsid w:val="0031347B"/>
    <w:rsid w:val="0031388C"/>
    <w:rsid w:val="00315980"/>
    <w:rsid w:val="00316F7F"/>
    <w:rsid w:val="00317BC8"/>
    <w:rsid w:val="00320678"/>
    <w:rsid w:val="0032148E"/>
    <w:rsid w:val="003214A7"/>
    <w:rsid w:val="003218E8"/>
    <w:rsid w:val="003220C0"/>
    <w:rsid w:val="003221E8"/>
    <w:rsid w:val="00323834"/>
    <w:rsid w:val="00325980"/>
    <w:rsid w:val="00325D8B"/>
    <w:rsid w:val="00325E34"/>
    <w:rsid w:val="0032790B"/>
    <w:rsid w:val="00330DCE"/>
    <w:rsid w:val="00331166"/>
    <w:rsid w:val="00331989"/>
    <w:rsid w:val="00331A9C"/>
    <w:rsid w:val="00331E11"/>
    <w:rsid w:val="0033250A"/>
    <w:rsid w:val="0033387E"/>
    <w:rsid w:val="00333A95"/>
    <w:rsid w:val="00334733"/>
    <w:rsid w:val="00334761"/>
    <w:rsid w:val="003353E0"/>
    <w:rsid w:val="00335899"/>
    <w:rsid w:val="00336CC7"/>
    <w:rsid w:val="003376C4"/>
    <w:rsid w:val="00337C9A"/>
    <w:rsid w:val="00337EBC"/>
    <w:rsid w:val="00340289"/>
    <w:rsid w:val="003407A4"/>
    <w:rsid w:val="003417AB"/>
    <w:rsid w:val="00341DCD"/>
    <w:rsid w:val="00343204"/>
    <w:rsid w:val="00344075"/>
    <w:rsid w:val="003444B9"/>
    <w:rsid w:val="0034563E"/>
    <w:rsid w:val="00345BEC"/>
    <w:rsid w:val="00347A3B"/>
    <w:rsid w:val="003518D6"/>
    <w:rsid w:val="003521C3"/>
    <w:rsid w:val="00353C56"/>
    <w:rsid w:val="003541AE"/>
    <w:rsid w:val="0035460C"/>
    <w:rsid w:val="00354BA9"/>
    <w:rsid w:val="003556BD"/>
    <w:rsid w:val="00360082"/>
    <w:rsid w:val="00360A88"/>
    <w:rsid w:val="00361ABE"/>
    <w:rsid w:val="00362313"/>
    <w:rsid w:val="00363E03"/>
    <w:rsid w:val="00364ABC"/>
    <w:rsid w:val="00365147"/>
    <w:rsid w:val="0036579D"/>
    <w:rsid w:val="00367248"/>
    <w:rsid w:val="0036799C"/>
    <w:rsid w:val="0037016E"/>
    <w:rsid w:val="00370C1B"/>
    <w:rsid w:val="00372908"/>
    <w:rsid w:val="003743C2"/>
    <w:rsid w:val="0037500E"/>
    <w:rsid w:val="00375090"/>
    <w:rsid w:val="00375448"/>
    <w:rsid w:val="00376D4B"/>
    <w:rsid w:val="00376D71"/>
    <w:rsid w:val="00377656"/>
    <w:rsid w:val="00377ED4"/>
    <w:rsid w:val="003801B5"/>
    <w:rsid w:val="003801F2"/>
    <w:rsid w:val="00381505"/>
    <w:rsid w:val="0038226B"/>
    <w:rsid w:val="00382904"/>
    <w:rsid w:val="00383020"/>
    <w:rsid w:val="0038546A"/>
    <w:rsid w:val="00386149"/>
    <w:rsid w:val="00386522"/>
    <w:rsid w:val="00386637"/>
    <w:rsid w:val="00387361"/>
    <w:rsid w:val="0038754B"/>
    <w:rsid w:val="003879F3"/>
    <w:rsid w:val="00390055"/>
    <w:rsid w:val="00392484"/>
    <w:rsid w:val="003925EE"/>
    <w:rsid w:val="00393420"/>
    <w:rsid w:val="00393534"/>
    <w:rsid w:val="00393AAA"/>
    <w:rsid w:val="00394C2F"/>
    <w:rsid w:val="00394D7E"/>
    <w:rsid w:val="00395365"/>
    <w:rsid w:val="00395E79"/>
    <w:rsid w:val="003975FD"/>
    <w:rsid w:val="00397C97"/>
    <w:rsid w:val="003A2863"/>
    <w:rsid w:val="003A33E5"/>
    <w:rsid w:val="003A382F"/>
    <w:rsid w:val="003A4D86"/>
    <w:rsid w:val="003A6DAE"/>
    <w:rsid w:val="003B057D"/>
    <w:rsid w:val="003B0742"/>
    <w:rsid w:val="003B0C57"/>
    <w:rsid w:val="003B2380"/>
    <w:rsid w:val="003B3432"/>
    <w:rsid w:val="003B4204"/>
    <w:rsid w:val="003B4DF4"/>
    <w:rsid w:val="003B60CC"/>
    <w:rsid w:val="003B6945"/>
    <w:rsid w:val="003B76C0"/>
    <w:rsid w:val="003B78DF"/>
    <w:rsid w:val="003C0657"/>
    <w:rsid w:val="003C15F5"/>
    <w:rsid w:val="003C1B25"/>
    <w:rsid w:val="003C2335"/>
    <w:rsid w:val="003C2443"/>
    <w:rsid w:val="003C3861"/>
    <w:rsid w:val="003C449E"/>
    <w:rsid w:val="003C5733"/>
    <w:rsid w:val="003C5DA3"/>
    <w:rsid w:val="003C7954"/>
    <w:rsid w:val="003D089F"/>
    <w:rsid w:val="003D193C"/>
    <w:rsid w:val="003D2677"/>
    <w:rsid w:val="003D2DAC"/>
    <w:rsid w:val="003D2EF9"/>
    <w:rsid w:val="003D3209"/>
    <w:rsid w:val="003D32B4"/>
    <w:rsid w:val="003D4BCD"/>
    <w:rsid w:val="003D4DFF"/>
    <w:rsid w:val="003D5F94"/>
    <w:rsid w:val="003D6078"/>
    <w:rsid w:val="003D6C2B"/>
    <w:rsid w:val="003D6D22"/>
    <w:rsid w:val="003D7714"/>
    <w:rsid w:val="003D7817"/>
    <w:rsid w:val="003D7D3E"/>
    <w:rsid w:val="003E01D8"/>
    <w:rsid w:val="003E0564"/>
    <w:rsid w:val="003E1AA8"/>
    <w:rsid w:val="003E2100"/>
    <w:rsid w:val="003E2234"/>
    <w:rsid w:val="003E2375"/>
    <w:rsid w:val="003E2521"/>
    <w:rsid w:val="003E2648"/>
    <w:rsid w:val="003E4692"/>
    <w:rsid w:val="003F06E2"/>
    <w:rsid w:val="003F194D"/>
    <w:rsid w:val="003F2049"/>
    <w:rsid w:val="003F2F59"/>
    <w:rsid w:val="003F3490"/>
    <w:rsid w:val="003F46D9"/>
    <w:rsid w:val="003F6F5B"/>
    <w:rsid w:val="004006F7"/>
    <w:rsid w:val="0040084F"/>
    <w:rsid w:val="00401FAA"/>
    <w:rsid w:val="004022FE"/>
    <w:rsid w:val="004024FB"/>
    <w:rsid w:val="00402F51"/>
    <w:rsid w:val="0040342D"/>
    <w:rsid w:val="00405CE9"/>
    <w:rsid w:val="0040630E"/>
    <w:rsid w:val="00407522"/>
    <w:rsid w:val="0041192D"/>
    <w:rsid w:val="00411955"/>
    <w:rsid w:val="004124B7"/>
    <w:rsid w:val="00412A61"/>
    <w:rsid w:val="00413027"/>
    <w:rsid w:val="00413EE1"/>
    <w:rsid w:val="00414A7B"/>
    <w:rsid w:val="00414C49"/>
    <w:rsid w:val="00414F24"/>
    <w:rsid w:val="00415405"/>
    <w:rsid w:val="00415965"/>
    <w:rsid w:val="0042128E"/>
    <w:rsid w:val="00421C81"/>
    <w:rsid w:val="004225D0"/>
    <w:rsid w:val="00423C54"/>
    <w:rsid w:val="00425EB7"/>
    <w:rsid w:val="00427402"/>
    <w:rsid w:val="004300F7"/>
    <w:rsid w:val="00431B36"/>
    <w:rsid w:val="00432041"/>
    <w:rsid w:val="00432B60"/>
    <w:rsid w:val="00433A23"/>
    <w:rsid w:val="00434418"/>
    <w:rsid w:val="004349F3"/>
    <w:rsid w:val="0043536D"/>
    <w:rsid w:val="00436463"/>
    <w:rsid w:val="004366C5"/>
    <w:rsid w:val="00436BAB"/>
    <w:rsid w:val="0043715B"/>
    <w:rsid w:val="00440698"/>
    <w:rsid w:val="004411F9"/>
    <w:rsid w:val="00442662"/>
    <w:rsid w:val="00443E1E"/>
    <w:rsid w:val="004444D3"/>
    <w:rsid w:val="00444E1F"/>
    <w:rsid w:val="004457F4"/>
    <w:rsid w:val="00445FE9"/>
    <w:rsid w:val="0044644B"/>
    <w:rsid w:val="004467B3"/>
    <w:rsid w:val="00447223"/>
    <w:rsid w:val="00450262"/>
    <w:rsid w:val="004506F7"/>
    <w:rsid w:val="00450999"/>
    <w:rsid w:val="004519C0"/>
    <w:rsid w:val="0045256A"/>
    <w:rsid w:val="004540E2"/>
    <w:rsid w:val="00454454"/>
    <w:rsid w:val="004549FB"/>
    <w:rsid w:val="00455B69"/>
    <w:rsid w:val="00455CC8"/>
    <w:rsid w:val="0045781A"/>
    <w:rsid w:val="00460154"/>
    <w:rsid w:val="00460B33"/>
    <w:rsid w:val="00462294"/>
    <w:rsid w:val="004626D1"/>
    <w:rsid w:val="00463AC9"/>
    <w:rsid w:val="00463EB5"/>
    <w:rsid w:val="00463F35"/>
    <w:rsid w:val="00464CF7"/>
    <w:rsid w:val="0046508F"/>
    <w:rsid w:val="0046627E"/>
    <w:rsid w:val="00466562"/>
    <w:rsid w:val="00467924"/>
    <w:rsid w:val="004712A5"/>
    <w:rsid w:val="004716BA"/>
    <w:rsid w:val="00471DFE"/>
    <w:rsid w:val="004720A0"/>
    <w:rsid w:val="00472497"/>
    <w:rsid w:val="0047266F"/>
    <w:rsid w:val="00473A50"/>
    <w:rsid w:val="004747A0"/>
    <w:rsid w:val="00474BCE"/>
    <w:rsid w:val="00474DBC"/>
    <w:rsid w:val="00475184"/>
    <w:rsid w:val="004756AA"/>
    <w:rsid w:val="00476558"/>
    <w:rsid w:val="00476D6B"/>
    <w:rsid w:val="00476FD4"/>
    <w:rsid w:val="00477451"/>
    <w:rsid w:val="00486561"/>
    <w:rsid w:val="00486A9D"/>
    <w:rsid w:val="00487CC0"/>
    <w:rsid w:val="0049173A"/>
    <w:rsid w:val="004918DC"/>
    <w:rsid w:val="0049287C"/>
    <w:rsid w:val="00492C16"/>
    <w:rsid w:val="00493A5C"/>
    <w:rsid w:val="00494620"/>
    <w:rsid w:val="00494E2F"/>
    <w:rsid w:val="004953CC"/>
    <w:rsid w:val="00495491"/>
    <w:rsid w:val="00497018"/>
    <w:rsid w:val="004A0678"/>
    <w:rsid w:val="004A18F4"/>
    <w:rsid w:val="004A2A69"/>
    <w:rsid w:val="004A3980"/>
    <w:rsid w:val="004A41AD"/>
    <w:rsid w:val="004A48A3"/>
    <w:rsid w:val="004A4C24"/>
    <w:rsid w:val="004A4E55"/>
    <w:rsid w:val="004B0005"/>
    <w:rsid w:val="004B0D92"/>
    <w:rsid w:val="004B0DCA"/>
    <w:rsid w:val="004B0EC0"/>
    <w:rsid w:val="004B11ED"/>
    <w:rsid w:val="004B13A8"/>
    <w:rsid w:val="004B1BE5"/>
    <w:rsid w:val="004B1F4F"/>
    <w:rsid w:val="004B58FA"/>
    <w:rsid w:val="004B5C50"/>
    <w:rsid w:val="004B5D06"/>
    <w:rsid w:val="004B6518"/>
    <w:rsid w:val="004B66F1"/>
    <w:rsid w:val="004B6AEF"/>
    <w:rsid w:val="004B6BCD"/>
    <w:rsid w:val="004B6CD0"/>
    <w:rsid w:val="004B7B17"/>
    <w:rsid w:val="004C0310"/>
    <w:rsid w:val="004C18B0"/>
    <w:rsid w:val="004C2BA8"/>
    <w:rsid w:val="004C326F"/>
    <w:rsid w:val="004C380C"/>
    <w:rsid w:val="004C3EA0"/>
    <w:rsid w:val="004C3EFC"/>
    <w:rsid w:val="004C4729"/>
    <w:rsid w:val="004C5E6A"/>
    <w:rsid w:val="004C6D2B"/>
    <w:rsid w:val="004C7032"/>
    <w:rsid w:val="004D0138"/>
    <w:rsid w:val="004D0CAB"/>
    <w:rsid w:val="004D0D44"/>
    <w:rsid w:val="004D1D3F"/>
    <w:rsid w:val="004D2860"/>
    <w:rsid w:val="004D29AF"/>
    <w:rsid w:val="004D2AFD"/>
    <w:rsid w:val="004D401A"/>
    <w:rsid w:val="004D4E43"/>
    <w:rsid w:val="004D5389"/>
    <w:rsid w:val="004D5EC9"/>
    <w:rsid w:val="004D7245"/>
    <w:rsid w:val="004D78F6"/>
    <w:rsid w:val="004E011A"/>
    <w:rsid w:val="004E04CB"/>
    <w:rsid w:val="004E0E78"/>
    <w:rsid w:val="004E1AD4"/>
    <w:rsid w:val="004E3952"/>
    <w:rsid w:val="004E3F35"/>
    <w:rsid w:val="004E65ED"/>
    <w:rsid w:val="004E7BDF"/>
    <w:rsid w:val="004E7D3E"/>
    <w:rsid w:val="004F1EED"/>
    <w:rsid w:val="004F20E7"/>
    <w:rsid w:val="004F2ABF"/>
    <w:rsid w:val="004F3C65"/>
    <w:rsid w:val="004F489B"/>
    <w:rsid w:val="004F5AE6"/>
    <w:rsid w:val="004F5FE9"/>
    <w:rsid w:val="004F687D"/>
    <w:rsid w:val="004F6982"/>
    <w:rsid w:val="004F6D0E"/>
    <w:rsid w:val="004F7169"/>
    <w:rsid w:val="004F71A9"/>
    <w:rsid w:val="005004A0"/>
    <w:rsid w:val="00500D66"/>
    <w:rsid w:val="00501084"/>
    <w:rsid w:val="00501E9F"/>
    <w:rsid w:val="00504D99"/>
    <w:rsid w:val="0050526E"/>
    <w:rsid w:val="005078D3"/>
    <w:rsid w:val="005102F5"/>
    <w:rsid w:val="00513DE2"/>
    <w:rsid w:val="00513EF0"/>
    <w:rsid w:val="00514C8E"/>
    <w:rsid w:val="00514FF9"/>
    <w:rsid w:val="005150D2"/>
    <w:rsid w:val="005170EA"/>
    <w:rsid w:val="00517703"/>
    <w:rsid w:val="0051775E"/>
    <w:rsid w:val="00517D39"/>
    <w:rsid w:val="005206CA"/>
    <w:rsid w:val="00520E35"/>
    <w:rsid w:val="00521E69"/>
    <w:rsid w:val="00525FC1"/>
    <w:rsid w:val="00527622"/>
    <w:rsid w:val="00530BC8"/>
    <w:rsid w:val="00531021"/>
    <w:rsid w:val="00531DBF"/>
    <w:rsid w:val="00534856"/>
    <w:rsid w:val="0053732E"/>
    <w:rsid w:val="00537646"/>
    <w:rsid w:val="00537EDA"/>
    <w:rsid w:val="0054040A"/>
    <w:rsid w:val="005411A4"/>
    <w:rsid w:val="00541BBE"/>
    <w:rsid w:val="00542905"/>
    <w:rsid w:val="00542A7E"/>
    <w:rsid w:val="005430A9"/>
    <w:rsid w:val="005449D0"/>
    <w:rsid w:val="00545759"/>
    <w:rsid w:val="00545BE0"/>
    <w:rsid w:val="00546930"/>
    <w:rsid w:val="00551C24"/>
    <w:rsid w:val="0055248E"/>
    <w:rsid w:val="005528C0"/>
    <w:rsid w:val="005537BC"/>
    <w:rsid w:val="005537CB"/>
    <w:rsid w:val="00554C6A"/>
    <w:rsid w:val="00554F3E"/>
    <w:rsid w:val="00555178"/>
    <w:rsid w:val="0055535F"/>
    <w:rsid w:val="00555B81"/>
    <w:rsid w:val="00556A32"/>
    <w:rsid w:val="0055798A"/>
    <w:rsid w:val="00560182"/>
    <w:rsid w:val="00560FFE"/>
    <w:rsid w:val="00562369"/>
    <w:rsid w:val="00562E85"/>
    <w:rsid w:val="0056332F"/>
    <w:rsid w:val="00564513"/>
    <w:rsid w:val="00565491"/>
    <w:rsid w:val="00565937"/>
    <w:rsid w:val="00565EEF"/>
    <w:rsid w:val="00570CA6"/>
    <w:rsid w:val="005719B3"/>
    <w:rsid w:val="00571D3E"/>
    <w:rsid w:val="0057295E"/>
    <w:rsid w:val="005733EF"/>
    <w:rsid w:val="005737F7"/>
    <w:rsid w:val="00574D7C"/>
    <w:rsid w:val="00576CD5"/>
    <w:rsid w:val="005770D5"/>
    <w:rsid w:val="00577C67"/>
    <w:rsid w:val="00577F66"/>
    <w:rsid w:val="00580821"/>
    <w:rsid w:val="00580F22"/>
    <w:rsid w:val="00581C39"/>
    <w:rsid w:val="00582117"/>
    <w:rsid w:val="005836C7"/>
    <w:rsid w:val="0058542D"/>
    <w:rsid w:val="005875BE"/>
    <w:rsid w:val="005903B6"/>
    <w:rsid w:val="00590755"/>
    <w:rsid w:val="00591226"/>
    <w:rsid w:val="00591AA8"/>
    <w:rsid w:val="00591FD4"/>
    <w:rsid w:val="00594D2E"/>
    <w:rsid w:val="00597A11"/>
    <w:rsid w:val="005A0247"/>
    <w:rsid w:val="005A0252"/>
    <w:rsid w:val="005A0649"/>
    <w:rsid w:val="005A126E"/>
    <w:rsid w:val="005A2C26"/>
    <w:rsid w:val="005A2D8D"/>
    <w:rsid w:val="005A3328"/>
    <w:rsid w:val="005A452F"/>
    <w:rsid w:val="005A63B7"/>
    <w:rsid w:val="005A6764"/>
    <w:rsid w:val="005A6F88"/>
    <w:rsid w:val="005A703E"/>
    <w:rsid w:val="005A71A0"/>
    <w:rsid w:val="005A7522"/>
    <w:rsid w:val="005B140D"/>
    <w:rsid w:val="005B141F"/>
    <w:rsid w:val="005B1DD1"/>
    <w:rsid w:val="005B2ADF"/>
    <w:rsid w:val="005B3680"/>
    <w:rsid w:val="005B4A5B"/>
    <w:rsid w:val="005B62E5"/>
    <w:rsid w:val="005B7D7F"/>
    <w:rsid w:val="005C1FEA"/>
    <w:rsid w:val="005C3495"/>
    <w:rsid w:val="005C61E8"/>
    <w:rsid w:val="005C63D5"/>
    <w:rsid w:val="005C662C"/>
    <w:rsid w:val="005C77F4"/>
    <w:rsid w:val="005D0724"/>
    <w:rsid w:val="005D1867"/>
    <w:rsid w:val="005D28DF"/>
    <w:rsid w:val="005D41E0"/>
    <w:rsid w:val="005D4A22"/>
    <w:rsid w:val="005D4D16"/>
    <w:rsid w:val="005D6231"/>
    <w:rsid w:val="005D781F"/>
    <w:rsid w:val="005D7CF0"/>
    <w:rsid w:val="005E07BD"/>
    <w:rsid w:val="005E1C1D"/>
    <w:rsid w:val="005E2315"/>
    <w:rsid w:val="005E32A2"/>
    <w:rsid w:val="005E3B33"/>
    <w:rsid w:val="005E3DFC"/>
    <w:rsid w:val="005E5942"/>
    <w:rsid w:val="005E60AF"/>
    <w:rsid w:val="005E6143"/>
    <w:rsid w:val="005E65E5"/>
    <w:rsid w:val="005E7360"/>
    <w:rsid w:val="005E7F48"/>
    <w:rsid w:val="005F09B2"/>
    <w:rsid w:val="005F1DEA"/>
    <w:rsid w:val="005F2B61"/>
    <w:rsid w:val="005F5E3D"/>
    <w:rsid w:val="005F65A7"/>
    <w:rsid w:val="005F7AEC"/>
    <w:rsid w:val="00600E40"/>
    <w:rsid w:val="006020D8"/>
    <w:rsid w:val="0060396A"/>
    <w:rsid w:val="006041A4"/>
    <w:rsid w:val="00604DAB"/>
    <w:rsid w:val="00607FC9"/>
    <w:rsid w:val="006105D1"/>
    <w:rsid w:val="00610E97"/>
    <w:rsid w:val="00610F96"/>
    <w:rsid w:val="006123B7"/>
    <w:rsid w:val="006127D4"/>
    <w:rsid w:val="0061292D"/>
    <w:rsid w:val="0061348E"/>
    <w:rsid w:val="00614559"/>
    <w:rsid w:val="00617FE8"/>
    <w:rsid w:val="006200AD"/>
    <w:rsid w:val="00622FE1"/>
    <w:rsid w:val="0062310F"/>
    <w:rsid w:val="0062319E"/>
    <w:rsid w:val="0062379B"/>
    <w:rsid w:val="0062474C"/>
    <w:rsid w:val="0062493E"/>
    <w:rsid w:val="0062521C"/>
    <w:rsid w:val="00625FDA"/>
    <w:rsid w:val="00627E91"/>
    <w:rsid w:val="006303D3"/>
    <w:rsid w:val="00630909"/>
    <w:rsid w:val="00630A2B"/>
    <w:rsid w:val="00631702"/>
    <w:rsid w:val="00631D03"/>
    <w:rsid w:val="00632D55"/>
    <w:rsid w:val="00632DC7"/>
    <w:rsid w:val="006335CF"/>
    <w:rsid w:val="006336C2"/>
    <w:rsid w:val="00633F48"/>
    <w:rsid w:val="006342AA"/>
    <w:rsid w:val="0063434A"/>
    <w:rsid w:val="00634B83"/>
    <w:rsid w:val="00634EED"/>
    <w:rsid w:val="006357FB"/>
    <w:rsid w:val="00635A97"/>
    <w:rsid w:val="00635B04"/>
    <w:rsid w:val="00635FF3"/>
    <w:rsid w:val="00636B79"/>
    <w:rsid w:val="00637EB3"/>
    <w:rsid w:val="006406FC"/>
    <w:rsid w:val="006408E5"/>
    <w:rsid w:val="00640E57"/>
    <w:rsid w:val="00641430"/>
    <w:rsid w:val="0064238B"/>
    <w:rsid w:val="0064275F"/>
    <w:rsid w:val="00642B36"/>
    <w:rsid w:val="00643285"/>
    <w:rsid w:val="006433A4"/>
    <w:rsid w:val="00643E23"/>
    <w:rsid w:val="0064513C"/>
    <w:rsid w:val="00645720"/>
    <w:rsid w:val="00645CEC"/>
    <w:rsid w:val="00646098"/>
    <w:rsid w:val="00646122"/>
    <w:rsid w:val="00646CC7"/>
    <w:rsid w:val="0064732C"/>
    <w:rsid w:val="00647B36"/>
    <w:rsid w:val="00650077"/>
    <w:rsid w:val="006517B3"/>
    <w:rsid w:val="00653E16"/>
    <w:rsid w:val="00654082"/>
    <w:rsid w:val="006559F6"/>
    <w:rsid w:val="00656006"/>
    <w:rsid w:val="006562DA"/>
    <w:rsid w:val="00657220"/>
    <w:rsid w:val="00657362"/>
    <w:rsid w:val="00660E38"/>
    <w:rsid w:val="0066104B"/>
    <w:rsid w:val="0066265D"/>
    <w:rsid w:val="00662776"/>
    <w:rsid w:val="00663AF5"/>
    <w:rsid w:val="006655EE"/>
    <w:rsid w:val="006669CA"/>
    <w:rsid w:val="006673A4"/>
    <w:rsid w:val="00667690"/>
    <w:rsid w:val="00667C10"/>
    <w:rsid w:val="00667EF4"/>
    <w:rsid w:val="006705DA"/>
    <w:rsid w:val="00670E4D"/>
    <w:rsid w:val="006714D7"/>
    <w:rsid w:val="0067188A"/>
    <w:rsid w:val="0067282E"/>
    <w:rsid w:val="006749FD"/>
    <w:rsid w:val="0067667A"/>
    <w:rsid w:val="006769D2"/>
    <w:rsid w:val="00676A62"/>
    <w:rsid w:val="00676FCA"/>
    <w:rsid w:val="006770B7"/>
    <w:rsid w:val="00677177"/>
    <w:rsid w:val="00677D6F"/>
    <w:rsid w:val="00677EA9"/>
    <w:rsid w:val="00677ED0"/>
    <w:rsid w:val="00680128"/>
    <w:rsid w:val="006826AC"/>
    <w:rsid w:val="00683341"/>
    <w:rsid w:val="0068421B"/>
    <w:rsid w:val="006847CD"/>
    <w:rsid w:val="00685593"/>
    <w:rsid w:val="0068612E"/>
    <w:rsid w:val="00686ABC"/>
    <w:rsid w:val="00687C92"/>
    <w:rsid w:val="00687CF7"/>
    <w:rsid w:val="006900FA"/>
    <w:rsid w:val="006905B5"/>
    <w:rsid w:val="006905DA"/>
    <w:rsid w:val="006928C8"/>
    <w:rsid w:val="0069534E"/>
    <w:rsid w:val="00696574"/>
    <w:rsid w:val="00696675"/>
    <w:rsid w:val="0069669C"/>
    <w:rsid w:val="00696892"/>
    <w:rsid w:val="0069701C"/>
    <w:rsid w:val="006A06DD"/>
    <w:rsid w:val="006A1200"/>
    <w:rsid w:val="006A1DE9"/>
    <w:rsid w:val="006A29CC"/>
    <w:rsid w:val="006A32F8"/>
    <w:rsid w:val="006A3922"/>
    <w:rsid w:val="006A4B3D"/>
    <w:rsid w:val="006A4F4E"/>
    <w:rsid w:val="006A6C23"/>
    <w:rsid w:val="006B0D8C"/>
    <w:rsid w:val="006B0E1B"/>
    <w:rsid w:val="006B14DB"/>
    <w:rsid w:val="006B1D7C"/>
    <w:rsid w:val="006B21C4"/>
    <w:rsid w:val="006B34B9"/>
    <w:rsid w:val="006B3735"/>
    <w:rsid w:val="006B464C"/>
    <w:rsid w:val="006B51F7"/>
    <w:rsid w:val="006B5551"/>
    <w:rsid w:val="006B5772"/>
    <w:rsid w:val="006B5BDA"/>
    <w:rsid w:val="006B602B"/>
    <w:rsid w:val="006B6759"/>
    <w:rsid w:val="006B6C14"/>
    <w:rsid w:val="006B7A91"/>
    <w:rsid w:val="006C0A67"/>
    <w:rsid w:val="006C172D"/>
    <w:rsid w:val="006C234E"/>
    <w:rsid w:val="006C4615"/>
    <w:rsid w:val="006C4A1A"/>
    <w:rsid w:val="006C6ECC"/>
    <w:rsid w:val="006D0393"/>
    <w:rsid w:val="006D0CD4"/>
    <w:rsid w:val="006D1A83"/>
    <w:rsid w:val="006D31D6"/>
    <w:rsid w:val="006D7661"/>
    <w:rsid w:val="006D79FA"/>
    <w:rsid w:val="006E03B4"/>
    <w:rsid w:val="006E0B45"/>
    <w:rsid w:val="006E0B93"/>
    <w:rsid w:val="006E1395"/>
    <w:rsid w:val="006E1487"/>
    <w:rsid w:val="006E1821"/>
    <w:rsid w:val="006E1C2E"/>
    <w:rsid w:val="006E1CFE"/>
    <w:rsid w:val="006E21DF"/>
    <w:rsid w:val="006E5887"/>
    <w:rsid w:val="006E66F3"/>
    <w:rsid w:val="006E69E1"/>
    <w:rsid w:val="006E7332"/>
    <w:rsid w:val="006F0C11"/>
    <w:rsid w:val="006F10C4"/>
    <w:rsid w:val="006F1B4C"/>
    <w:rsid w:val="006F34EB"/>
    <w:rsid w:val="006F40E9"/>
    <w:rsid w:val="006F423F"/>
    <w:rsid w:val="006F4344"/>
    <w:rsid w:val="006F5603"/>
    <w:rsid w:val="006F5C09"/>
    <w:rsid w:val="006F79A8"/>
    <w:rsid w:val="006F7B87"/>
    <w:rsid w:val="00701400"/>
    <w:rsid w:val="00701FD9"/>
    <w:rsid w:val="007037CF"/>
    <w:rsid w:val="00703CF9"/>
    <w:rsid w:val="007054BC"/>
    <w:rsid w:val="00706B59"/>
    <w:rsid w:val="00706BB3"/>
    <w:rsid w:val="00707F68"/>
    <w:rsid w:val="007119CC"/>
    <w:rsid w:val="007119FD"/>
    <w:rsid w:val="00712702"/>
    <w:rsid w:val="00713278"/>
    <w:rsid w:val="0071363B"/>
    <w:rsid w:val="007136C0"/>
    <w:rsid w:val="00713E7C"/>
    <w:rsid w:val="007147ED"/>
    <w:rsid w:val="00714E49"/>
    <w:rsid w:val="00714EA1"/>
    <w:rsid w:val="007167C0"/>
    <w:rsid w:val="00717E73"/>
    <w:rsid w:val="007200D2"/>
    <w:rsid w:val="00720387"/>
    <w:rsid w:val="00720481"/>
    <w:rsid w:val="00722380"/>
    <w:rsid w:val="00724095"/>
    <w:rsid w:val="00724096"/>
    <w:rsid w:val="0072413C"/>
    <w:rsid w:val="00724DEE"/>
    <w:rsid w:val="00724E24"/>
    <w:rsid w:val="0072528D"/>
    <w:rsid w:val="00725DE3"/>
    <w:rsid w:val="00725E7C"/>
    <w:rsid w:val="00726DC5"/>
    <w:rsid w:val="00730057"/>
    <w:rsid w:val="00730AC9"/>
    <w:rsid w:val="00732A72"/>
    <w:rsid w:val="00732E28"/>
    <w:rsid w:val="00733143"/>
    <w:rsid w:val="00733193"/>
    <w:rsid w:val="0073491F"/>
    <w:rsid w:val="00736690"/>
    <w:rsid w:val="007368DF"/>
    <w:rsid w:val="00737D48"/>
    <w:rsid w:val="00740C2F"/>
    <w:rsid w:val="00740F95"/>
    <w:rsid w:val="00741FEA"/>
    <w:rsid w:val="00742056"/>
    <w:rsid w:val="007421D7"/>
    <w:rsid w:val="00742D7F"/>
    <w:rsid w:val="007436A8"/>
    <w:rsid w:val="00743EE9"/>
    <w:rsid w:val="007440F9"/>
    <w:rsid w:val="00744DDA"/>
    <w:rsid w:val="00744E96"/>
    <w:rsid w:val="00744EB9"/>
    <w:rsid w:val="00745E03"/>
    <w:rsid w:val="00746089"/>
    <w:rsid w:val="00746629"/>
    <w:rsid w:val="00746A74"/>
    <w:rsid w:val="00746CA2"/>
    <w:rsid w:val="00747391"/>
    <w:rsid w:val="007515FB"/>
    <w:rsid w:val="007522D7"/>
    <w:rsid w:val="00753308"/>
    <w:rsid w:val="0075362D"/>
    <w:rsid w:val="0075389F"/>
    <w:rsid w:val="007544E1"/>
    <w:rsid w:val="00754EEE"/>
    <w:rsid w:val="0075537E"/>
    <w:rsid w:val="00756B86"/>
    <w:rsid w:val="00756E9F"/>
    <w:rsid w:val="0075732A"/>
    <w:rsid w:val="00757CAE"/>
    <w:rsid w:val="007600F8"/>
    <w:rsid w:val="00760262"/>
    <w:rsid w:val="00760DF3"/>
    <w:rsid w:val="00760E25"/>
    <w:rsid w:val="00760E9C"/>
    <w:rsid w:val="0076310C"/>
    <w:rsid w:val="00763B7F"/>
    <w:rsid w:val="00764AC2"/>
    <w:rsid w:val="007653D5"/>
    <w:rsid w:val="007655B4"/>
    <w:rsid w:val="0076677E"/>
    <w:rsid w:val="00766CEB"/>
    <w:rsid w:val="0076744F"/>
    <w:rsid w:val="00767BCE"/>
    <w:rsid w:val="00767DC6"/>
    <w:rsid w:val="00767EFC"/>
    <w:rsid w:val="007705C0"/>
    <w:rsid w:val="007707DE"/>
    <w:rsid w:val="00770A24"/>
    <w:rsid w:val="00770AAD"/>
    <w:rsid w:val="00770B5D"/>
    <w:rsid w:val="007712DB"/>
    <w:rsid w:val="00771A73"/>
    <w:rsid w:val="00771F92"/>
    <w:rsid w:val="007742CA"/>
    <w:rsid w:val="007752F1"/>
    <w:rsid w:val="00776768"/>
    <w:rsid w:val="007770E5"/>
    <w:rsid w:val="007773A2"/>
    <w:rsid w:val="007806BA"/>
    <w:rsid w:val="0078156A"/>
    <w:rsid w:val="0078187A"/>
    <w:rsid w:val="007825DD"/>
    <w:rsid w:val="0078347C"/>
    <w:rsid w:val="00786066"/>
    <w:rsid w:val="00786F0A"/>
    <w:rsid w:val="0078756A"/>
    <w:rsid w:val="00792816"/>
    <w:rsid w:val="00794ED8"/>
    <w:rsid w:val="0079537E"/>
    <w:rsid w:val="00795F13"/>
    <w:rsid w:val="00796714"/>
    <w:rsid w:val="00797E56"/>
    <w:rsid w:val="007A009F"/>
    <w:rsid w:val="007A0F23"/>
    <w:rsid w:val="007A2096"/>
    <w:rsid w:val="007A2573"/>
    <w:rsid w:val="007A4D1D"/>
    <w:rsid w:val="007A59F9"/>
    <w:rsid w:val="007A650B"/>
    <w:rsid w:val="007A6675"/>
    <w:rsid w:val="007A6BE0"/>
    <w:rsid w:val="007A70E1"/>
    <w:rsid w:val="007B07E4"/>
    <w:rsid w:val="007B0F40"/>
    <w:rsid w:val="007B106C"/>
    <w:rsid w:val="007B11BB"/>
    <w:rsid w:val="007B1A4E"/>
    <w:rsid w:val="007B27DA"/>
    <w:rsid w:val="007B2C5E"/>
    <w:rsid w:val="007B33CF"/>
    <w:rsid w:val="007B3D05"/>
    <w:rsid w:val="007B406F"/>
    <w:rsid w:val="007B48A6"/>
    <w:rsid w:val="007B5503"/>
    <w:rsid w:val="007C03C2"/>
    <w:rsid w:val="007C0511"/>
    <w:rsid w:val="007C0998"/>
    <w:rsid w:val="007C1149"/>
    <w:rsid w:val="007C179C"/>
    <w:rsid w:val="007C193E"/>
    <w:rsid w:val="007C2244"/>
    <w:rsid w:val="007C2D02"/>
    <w:rsid w:val="007C2F32"/>
    <w:rsid w:val="007C3F87"/>
    <w:rsid w:val="007C4778"/>
    <w:rsid w:val="007C5AB8"/>
    <w:rsid w:val="007C5B81"/>
    <w:rsid w:val="007C64BB"/>
    <w:rsid w:val="007C6BB3"/>
    <w:rsid w:val="007D03CE"/>
    <w:rsid w:val="007D14B4"/>
    <w:rsid w:val="007D1E68"/>
    <w:rsid w:val="007D2CB6"/>
    <w:rsid w:val="007D31CD"/>
    <w:rsid w:val="007D37DE"/>
    <w:rsid w:val="007D3AD7"/>
    <w:rsid w:val="007D4376"/>
    <w:rsid w:val="007D4DC6"/>
    <w:rsid w:val="007D555B"/>
    <w:rsid w:val="007D5AC2"/>
    <w:rsid w:val="007D5AEF"/>
    <w:rsid w:val="007D5CD7"/>
    <w:rsid w:val="007D7638"/>
    <w:rsid w:val="007E0199"/>
    <w:rsid w:val="007E13CA"/>
    <w:rsid w:val="007E1D41"/>
    <w:rsid w:val="007E24F6"/>
    <w:rsid w:val="007E2925"/>
    <w:rsid w:val="007E31AF"/>
    <w:rsid w:val="007E5547"/>
    <w:rsid w:val="007E67E8"/>
    <w:rsid w:val="007E77DB"/>
    <w:rsid w:val="007F14A5"/>
    <w:rsid w:val="007F1D40"/>
    <w:rsid w:val="007F3664"/>
    <w:rsid w:val="007F5590"/>
    <w:rsid w:val="007F67B3"/>
    <w:rsid w:val="007F779C"/>
    <w:rsid w:val="00800F64"/>
    <w:rsid w:val="00801050"/>
    <w:rsid w:val="00801BB7"/>
    <w:rsid w:val="00802819"/>
    <w:rsid w:val="00802F0B"/>
    <w:rsid w:val="008030D1"/>
    <w:rsid w:val="008030FE"/>
    <w:rsid w:val="008033C5"/>
    <w:rsid w:val="0080389E"/>
    <w:rsid w:val="008045F5"/>
    <w:rsid w:val="00804C92"/>
    <w:rsid w:val="00807E33"/>
    <w:rsid w:val="00810A67"/>
    <w:rsid w:val="00810B20"/>
    <w:rsid w:val="008116A8"/>
    <w:rsid w:val="00813051"/>
    <w:rsid w:val="00813746"/>
    <w:rsid w:val="00813EB7"/>
    <w:rsid w:val="0081456B"/>
    <w:rsid w:val="00815D6F"/>
    <w:rsid w:val="008214C0"/>
    <w:rsid w:val="00823F36"/>
    <w:rsid w:val="00824679"/>
    <w:rsid w:val="00824FAF"/>
    <w:rsid w:val="0082502B"/>
    <w:rsid w:val="008269A7"/>
    <w:rsid w:val="008270BC"/>
    <w:rsid w:val="00830325"/>
    <w:rsid w:val="00830BF6"/>
    <w:rsid w:val="00831733"/>
    <w:rsid w:val="0083311B"/>
    <w:rsid w:val="00833CF7"/>
    <w:rsid w:val="00834CDE"/>
    <w:rsid w:val="00836796"/>
    <w:rsid w:val="00836888"/>
    <w:rsid w:val="00837277"/>
    <w:rsid w:val="0083750A"/>
    <w:rsid w:val="00837FB0"/>
    <w:rsid w:val="00841DD8"/>
    <w:rsid w:val="00842109"/>
    <w:rsid w:val="00842464"/>
    <w:rsid w:val="00843754"/>
    <w:rsid w:val="008439FD"/>
    <w:rsid w:val="008440FE"/>
    <w:rsid w:val="0084443D"/>
    <w:rsid w:val="00844906"/>
    <w:rsid w:val="0084555C"/>
    <w:rsid w:val="00845601"/>
    <w:rsid w:val="00847333"/>
    <w:rsid w:val="008500BC"/>
    <w:rsid w:val="00851B57"/>
    <w:rsid w:val="0085254C"/>
    <w:rsid w:val="00853E60"/>
    <w:rsid w:val="00855C5C"/>
    <w:rsid w:val="00856735"/>
    <w:rsid w:val="00856BFD"/>
    <w:rsid w:val="00857F00"/>
    <w:rsid w:val="0086112D"/>
    <w:rsid w:val="008615D1"/>
    <w:rsid w:val="008639E8"/>
    <w:rsid w:val="00864689"/>
    <w:rsid w:val="00864A04"/>
    <w:rsid w:val="0086501D"/>
    <w:rsid w:val="0086644E"/>
    <w:rsid w:val="00866FC8"/>
    <w:rsid w:val="00867FDC"/>
    <w:rsid w:val="008700CA"/>
    <w:rsid w:val="008704B3"/>
    <w:rsid w:val="0087424C"/>
    <w:rsid w:val="008771FA"/>
    <w:rsid w:val="00877728"/>
    <w:rsid w:val="0088014E"/>
    <w:rsid w:val="008804E2"/>
    <w:rsid w:val="00880758"/>
    <w:rsid w:val="00880D6E"/>
    <w:rsid w:val="008820B2"/>
    <w:rsid w:val="00882289"/>
    <w:rsid w:val="00882A4D"/>
    <w:rsid w:val="00885264"/>
    <w:rsid w:val="00885917"/>
    <w:rsid w:val="0088618A"/>
    <w:rsid w:val="00886CFC"/>
    <w:rsid w:val="008875DD"/>
    <w:rsid w:val="00890535"/>
    <w:rsid w:val="00891AB6"/>
    <w:rsid w:val="008921E6"/>
    <w:rsid w:val="008926EA"/>
    <w:rsid w:val="00893EAF"/>
    <w:rsid w:val="00894D54"/>
    <w:rsid w:val="008962EF"/>
    <w:rsid w:val="0089705C"/>
    <w:rsid w:val="00897FA3"/>
    <w:rsid w:val="008A05F9"/>
    <w:rsid w:val="008A2C55"/>
    <w:rsid w:val="008A3C96"/>
    <w:rsid w:val="008A3EED"/>
    <w:rsid w:val="008A7760"/>
    <w:rsid w:val="008B0AAB"/>
    <w:rsid w:val="008B11B3"/>
    <w:rsid w:val="008B4019"/>
    <w:rsid w:val="008B43EA"/>
    <w:rsid w:val="008B5186"/>
    <w:rsid w:val="008B65C9"/>
    <w:rsid w:val="008C0095"/>
    <w:rsid w:val="008C01D1"/>
    <w:rsid w:val="008C030D"/>
    <w:rsid w:val="008C0EDC"/>
    <w:rsid w:val="008C0F31"/>
    <w:rsid w:val="008C185F"/>
    <w:rsid w:val="008C1871"/>
    <w:rsid w:val="008C1B4D"/>
    <w:rsid w:val="008C285D"/>
    <w:rsid w:val="008C2D4A"/>
    <w:rsid w:val="008C2E80"/>
    <w:rsid w:val="008C31C2"/>
    <w:rsid w:val="008C3970"/>
    <w:rsid w:val="008C3AA4"/>
    <w:rsid w:val="008C43BC"/>
    <w:rsid w:val="008C4F27"/>
    <w:rsid w:val="008C5573"/>
    <w:rsid w:val="008C625A"/>
    <w:rsid w:val="008C7A34"/>
    <w:rsid w:val="008D0CFB"/>
    <w:rsid w:val="008D1F43"/>
    <w:rsid w:val="008D3900"/>
    <w:rsid w:val="008D4B95"/>
    <w:rsid w:val="008D54CD"/>
    <w:rsid w:val="008D5824"/>
    <w:rsid w:val="008D5FE6"/>
    <w:rsid w:val="008D6DE3"/>
    <w:rsid w:val="008D6E1D"/>
    <w:rsid w:val="008D7FB6"/>
    <w:rsid w:val="008E1615"/>
    <w:rsid w:val="008E166E"/>
    <w:rsid w:val="008E23B2"/>
    <w:rsid w:val="008E25EF"/>
    <w:rsid w:val="008E3F0C"/>
    <w:rsid w:val="008E5983"/>
    <w:rsid w:val="008E5D92"/>
    <w:rsid w:val="008E675C"/>
    <w:rsid w:val="008E6A80"/>
    <w:rsid w:val="008E73FC"/>
    <w:rsid w:val="008F1746"/>
    <w:rsid w:val="008F1ABB"/>
    <w:rsid w:val="008F1E96"/>
    <w:rsid w:val="008F205B"/>
    <w:rsid w:val="008F20C3"/>
    <w:rsid w:val="008F292E"/>
    <w:rsid w:val="008F31DE"/>
    <w:rsid w:val="008F3389"/>
    <w:rsid w:val="008F39B4"/>
    <w:rsid w:val="008F3B58"/>
    <w:rsid w:val="008F4162"/>
    <w:rsid w:val="008F52E1"/>
    <w:rsid w:val="008F73A3"/>
    <w:rsid w:val="008F7EE7"/>
    <w:rsid w:val="009010CD"/>
    <w:rsid w:val="009028E0"/>
    <w:rsid w:val="00903462"/>
    <w:rsid w:val="00903E02"/>
    <w:rsid w:val="00905133"/>
    <w:rsid w:val="0090555F"/>
    <w:rsid w:val="00905D5C"/>
    <w:rsid w:val="00906A7D"/>
    <w:rsid w:val="00906DA7"/>
    <w:rsid w:val="00907BED"/>
    <w:rsid w:val="00910B2C"/>
    <w:rsid w:val="0091155C"/>
    <w:rsid w:val="00911AF8"/>
    <w:rsid w:val="009130A7"/>
    <w:rsid w:val="00913175"/>
    <w:rsid w:val="009138F1"/>
    <w:rsid w:val="00913F75"/>
    <w:rsid w:val="0091482E"/>
    <w:rsid w:val="00915D54"/>
    <w:rsid w:val="009168C7"/>
    <w:rsid w:val="00916EDB"/>
    <w:rsid w:val="00917F93"/>
    <w:rsid w:val="00920861"/>
    <w:rsid w:val="00920A12"/>
    <w:rsid w:val="0092172A"/>
    <w:rsid w:val="0092265B"/>
    <w:rsid w:val="00922B13"/>
    <w:rsid w:val="009239E2"/>
    <w:rsid w:val="009242EF"/>
    <w:rsid w:val="00925281"/>
    <w:rsid w:val="00925530"/>
    <w:rsid w:val="00927E42"/>
    <w:rsid w:val="00932241"/>
    <w:rsid w:val="00932291"/>
    <w:rsid w:val="00932861"/>
    <w:rsid w:val="00932E05"/>
    <w:rsid w:val="00933C21"/>
    <w:rsid w:val="0093408E"/>
    <w:rsid w:val="00934E4E"/>
    <w:rsid w:val="009364C8"/>
    <w:rsid w:val="00937BEB"/>
    <w:rsid w:val="00937D63"/>
    <w:rsid w:val="009400CF"/>
    <w:rsid w:val="00940821"/>
    <w:rsid w:val="00940B9E"/>
    <w:rsid w:val="009413D4"/>
    <w:rsid w:val="00942D91"/>
    <w:rsid w:val="009435FF"/>
    <w:rsid w:val="00944914"/>
    <w:rsid w:val="00944E18"/>
    <w:rsid w:val="0094547E"/>
    <w:rsid w:val="009457F2"/>
    <w:rsid w:val="00946455"/>
    <w:rsid w:val="0094659F"/>
    <w:rsid w:val="00947CE4"/>
    <w:rsid w:val="00951588"/>
    <w:rsid w:val="00952DDF"/>
    <w:rsid w:val="009533CA"/>
    <w:rsid w:val="00953508"/>
    <w:rsid w:val="00954483"/>
    <w:rsid w:val="0095548C"/>
    <w:rsid w:val="00955E90"/>
    <w:rsid w:val="00957489"/>
    <w:rsid w:val="00957622"/>
    <w:rsid w:val="00957CA2"/>
    <w:rsid w:val="00960CA3"/>
    <w:rsid w:val="009610A3"/>
    <w:rsid w:val="009614E8"/>
    <w:rsid w:val="0096223F"/>
    <w:rsid w:val="0096341B"/>
    <w:rsid w:val="00963B6A"/>
    <w:rsid w:val="00964CEC"/>
    <w:rsid w:val="00965C0E"/>
    <w:rsid w:val="00966019"/>
    <w:rsid w:val="009662E8"/>
    <w:rsid w:val="00966E80"/>
    <w:rsid w:val="00966EA0"/>
    <w:rsid w:val="0096770F"/>
    <w:rsid w:val="0097084B"/>
    <w:rsid w:val="00970950"/>
    <w:rsid w:val="009712EF"/>
    <w:rsid w:val="009722BB"/>
    <w:rsid w:val="00972714"/>
    <w:rsid w:val="00973F5D"/>
    <w:rsid w:val="00974A14"/>
    <w:rsid w:val="00975517"/>
    <w:rsid w:val="009755DC"/>
    <w:rsid w:val="00976F2C"/>
    <w:rsid w:val="0098037E"/>
    <w:rsid w:val="00980C88"/>
    <w:rsid w:val="009812D4"/>
    <w:rsid w:val="009818C8"/>
    <w:rsid w:val="00982662"/>
    <w:rsid w:val="00982CD7"/>
    <w:rsid w:val="0098356F"/>
    <w:rsid w:val="009846C9"/>
    <w:rsid w:val="00985A9B"/>
    <w:rsid w:val="009865E2"/>
    <w:rsid w:val="0098740E"/>
    <w:rsid w:val="009905D1"/>
    <w:rsid w:val="009920D8"/>
    <w:rsid w:val="00993C6E"/>
    <w:rsid w:val="00993E05"/>
    <w:rsid w:val="00994ED8"/>
    <w:rsid w:val="009952F5"/>
    <w:rsid w:val="009A0B81"/>
    <w:rsid w:val="009A0FF8"/>
    <w:rsid w:val="009A1A5B"/>
    <w:rsid w:val="009A1F0D"/>
    <w:rsid w:val="009A231A"/>
    <w:rsid w:val="009A2324"/>
    <w:rsid w:val="009A25BD"/>
    <w:rsid w:val="009A32B2"/>
    <w:rsid w:val="009A3829"/>
    <w:rsid w:val="009A3F44"/>
    <w:rsid w:val="009A6DB7"/>
    <w:rsid w:val="009A7361"/>
    <w:rsid w:val="009A7F14"/>
    <w:rsid w:val="009B06EB"/>
    <w:rsid w:val="009B151B"/>
    <w:rsid w:val="009B2462"/>
    <w:rsid w:val="009B317A"/>
    <w:rsid w:val="009B38BE"/>
    <w:rsid w:val="009B4188"/>
    <w:rsid w:val="009B5135"/>
    <w:rsid w:val="009B7944"/>
    <w:rsid w:val="009C1DB3"/>
    <w:rsid w:val="009C33DE"/>
    <w:rsid w:val="009C3D0F"/>
    <w:rsid w:val="009C3F77"/>
    <w:rsid w:val="009C4A09"/>
    <w:rsid w:val="009C5231"/>
    <w:rsid w:val="009C6A70"/>
    <w:rsid w:val="009C763F"/>
    <w:rsid w:val="009D00CD"/>
    <w:rsid w:val="009D0D17"/>
    <w:rsid w:val="009D136D"/>
    <w:rsid w:val="009D1BD5"/>
    <w:rsid w:val="009D289B"/>
    <w:rsid w:val="009D291E"/>
    <w:rsid w:val="009D36D3"/>
    <w:rsid w:val="009D4865"/>
    <w:rsid w:val="009D50E9"/>
    <w:rsid w:val="009D5426"/>
    <w:rsid w:val="009D6505"/>
    <w:rsid w:val="009D6742"/>
    <w:rsid w:val="009D6EEC"/>
    <w:rsid w:val="009D7303"/>
    <w:rsid w:val="009D73C8"/>
    <w:rsid w:val="009D7AA9"/>
    <w:rsid w:val="009E06DA"/>
    <w:rsid w:val="009E10FA"/>
    <w:rsid w:val="009E19B9"/>
    <w:rsid w:val="009E1B19"/>
    <w:rsid w:val="009E1BB5"/>
    <w:rsid w:val="009E29C4"/>
    <w:rsid w:val="009E324F"/>
    <w:rsid w:val="009E4B7E"/>
    <w:rsid w:val="009E506D"/>
    <w:rsid w:val="009E50F3"/>
    <w:rsid w:val="009E63C7"/>
    <w:rsid w:val="009F05F4"/>
    <w:rsid w:val="009F35E2"/>
    <w:rsid w:val="009F363F"/>
    <w:rsid w:val="009F65F9"/>
    <w:rsid w:val="009F68BA"/>
    <w:rsid w:val="00A00970"/>
    <w:rsid w:val="00A0098B"/>
    <w:rsid w:val="00A00E51"/>
    <w:rsid w:val="00A0184D"/>
    <w:rsid w:val="00A04DAE"/>
    <w:rsid w:val="00A06277"/>
    <w:rsid w:val="00A0670C"/>
    <w:rsid w:val="00A07449"/>
    <w:rsid w:val="00A079DC"/>
    <w:rsid w:val="00A07D85"/>
    <w:rsid w:val="00A07DF1"/>
    <w:rsid w:val="00A10EDA"/>
    <w:rsid w:val="00A111C2"/>
    <w:rsid w:val="00A11754"/>
    <w:rsid w:val="00A143AC"/>
    <w:rsid w:val="00A153AD"/>
    <w:rsid w:val="00A16140"/>
    <w:rsid w:val="00A16F0B"/>
    <w:rsid w:val="00A174C8"/>
    <w:rsid w:val="00A20002"/>
    <w:rsid w:val="00A21512"/>
    <w:rsid w:val="00A235E3"/>
    <w:rsid w:val="00A23C65"/>
    <w:rsid w:val="00A265EA"/>
    <w:rsid w:val="00A26614"/>
    <w:rsid w:val="00A31027"/>
    <w:rsid w:val="00A3151B"/>
    <w:rsid w:val="00A32805"/>
    <w:rsid w:val="00A33658"/>
    <w:rsid w:val="00A338E7"/>
    <w:rsid w:val="00A33CEB"/>
    <w:rsid w:val="00A35CAA"/>
    <w:rsid w:val="00A36282"/>
    <w:rsid w:val="00A36E7F"/>
    <w:rsid w:val="00A41108"/>
    <w:rsid w:val="00A417CE"/>
    <w:rsid w:val="00A41E65"/>
    <w:rsid w:val="00A4224C"/>
    <w:rsid w:val="00A42496"/>
    <w:rsid w:val="00A426B9"/>
    <w:rsid w:val="00A42DCB"/>
    <w:rsid w:val="00A43E0A"/>
    <w:rsid w:val="00A441C6"/>
    <w:rsid w:val="00A455AD"/>
    <w:rsid w:val="00A45892"/>
    <w:rsid w:val="00A46E39"/>
    <w:rsid w:val="00A46F4C"/>
    <w:rsid w:val="00A4730B"/>
    <w:rsid w:val="00A530C7"/>
    <w:rsid w:val="00A531A3"/>
    <w:rsid w:val="00A53948"/>
    <w:rsid w:val="00A53C41"/>
    <w:rsid w:val="00A55F5B"/>
    <w:rsid w:val="00A56B29"/>
    <w:rsid w:val="00A572A7"/>
    <w:rsid w:val="00A57A29"/>
    <w:rsid w:val="00A60185"/>
    <w:rsid w:val="00A606B4"/>
    <w:rsid w:val="00A60864"/>
    <w:rsid w:val="00A6091C"/>
    <w:rsid w:val="00A60FB2"/>
    <w:rsid w:val="00A62021"/>
    <w:rsid w:val="00A6433C"/>
    <w:rsid w:val="00A65550"/>
    <w:rsid w:val="00A6605A"/>
    <w:rsid w:val="00A661EA"/>
    <w:rsid w:val="00A66249"/>
    <w:rsid w:val="00A66465"/>
    <w:rsid w:val="00A668DB"/>
    <w:rsid w:val="00A66D10"/>
    <w:rsid w:val="00A67D05"/>
    <w:rsid w:val="00A70729"/>
    <w:rsid w:val="00A7162B"/>
    <w:rsid w:val="00A724EA"/>
    <w:rsid w:val="00A73205"/>
    <w:rsid w:val="00A73484"/>
    <w:rsid w:val="00A735CB"/>
    <w:rsid w:val="00A76ACF"/>
    <w:rsid w:val="00A77456"/>
    <w:rsid w:val="00A777B1"/>
    <w:rsid w:val="00A80833"/>
    <w:rsid w:val="00A80D46"/>
    <w:rsid w:val="00A81D06"/>
    <w:rsid w:val="00A82F93"/>
    <w:rsid w:val="00A830E5"/>
    <w:rsid w:val="00A83D4F"/>
    <w:rsid w:val="00A84B6A"/>
    <w:rsid w:val="00A87135"/>
    <w:rsid w:val="00A91166"/>
    <w:rsid w:val="00A93280"/>
    <w:rsid w:val="00A93D71"/>
    <w:rsid w:val="00A93DE5"/>
    <w:rsid w:val="00A951EA"/>
    <w:rsid w:val="00A95AE3"/>
    <w:rsid w:val="00A962D3"/>
    <w:rsid w:val="00A965BE"/>
    <w:rsid w:val="00A96954"/>
    <w:rsid w:val="00AA1C5E"/>
    <w:rsid w:val="00AA2548"/>
    <w:rsid w:val="00AA3556"/>
    <w:rsid w:val="00AA3687"/>
    <w:rsid w:val="00AA3E5B"/>
    <w:rsid w:val="00AA53EA"/>
    <w:rsid w:val="00AA58C4"/>
    <w:rsid w:val="00AA6BB0"/>
    <w:rsid w:val="00AA7003"/>
    <w:rsid w:val="00AA7037"/>
    <w:rsid w:val="00AA7950"/>
    <w:rsid w:val="00AB11C8"/>
    <w:rsid w:val="00AB15FC"/>
    <w:rsid w:val="00AB31CA"/>
    <w:rsid w:val="00AB3A56"/>
    <w:rsid w:val="00AB757D"/>
    <w:rsid w:val="00AC0521"/>
    <w:rsid w:val="00AC08A8"/>
    <w:rsid w:val="00AC116F"/>
    <w:rsid w:val="00AC20A6"/>
    <w:rsid w:val="00AC318C"/>
    <w:rsid w:val="00AC35E8"/>
    <w:rsid w:val="00AC4E6D"/>
    <w:rsid w:val="00AC57EB"/>
    <w:rsid w:val="00AC7279"/>
    <w:rsid w:val="00AC78A1"/>
    <w:rsid w:val="00AD0C11"/>
    <w:rsid w:val="00AD1C68"/>
    <w:rsid w:val="00AD2370"/>
    <w:rsid w:val="00AD32FC"/>
    <w:rsid w:val="00AD47CC"/>
    <w:rsid w:val="00AD4AD5"/>
    <w:rsid w:val="00AD5389"/>
    <w:rsid w:val="00AD56C8"/>
    <w:rsid w:val="00AD58F2"/>
    <w:rsid w:val="00AD5BAC"/>
    <w:rsid w:val="00AD5BC1"/>
    <w:rsid w:val="00AD671C"/>
    <w:rsid w:val="00AD75A5"/>
    <w:rsid w:val="00AD7B14"/>
    <w:rsid w:val="00AD7CBF"/>
    <w:rsid w:val="00AE04DC"/>
    <w:rsid w:val="00AE0B04"/>
    <w:rsid w:val="00AE0D84"/>
    <w:rsid w:val="00AE0E45"/>
    <w:rsid w:val="00AE1282"/>
    <w:rsid w:val="00AE1B6B"/>
    <w:rsid w:val="00AE26F3"/>
    <w:rsid w:val="00AE2E84"/>
    <w:rsid w:val="00AE3B53"/>
    <w:rsid w:val="00AE5C90"/>
    <w:rsid w:val="00AE75D9"/>
    <w:rsid w:val="00AE7833"/>
    <w:rsid w:val="00AF026D"/>
    <w:rsid w:val="00AF070C"/>
    <w:rsid w:val="00AF1D70"/>
    <w:rsid w:val="00AF214E"/>
    <w:rsid w:val="00AF2331"/>
    <w:rsid w:val="00AF26EA"/>
    <w:rsid w:val="00AF27E0"/>
    <w:rsid w:val="00AF72A8"/>
    <w:rsid w:val="00AF757D"/>
    <w:rsid w:val="00AF757F"/>
    <w:rsid w:val="00AF78D4"/>
    <w:rsid w:val="00AF7B7F"/>
    <w:rsid w:val="00B01A37"/>
    <w:rsid w:val="00B01F6E"/>
    <w:rsid w:val="00B02578"/>
    <w:rsid w:val="00B03A40"/>
    <w:rsid w:val="00B03D12"/>
    <w:rsid w:val="00B0512A"/>
    <w:rsid w:val="00B0529F"/>
    <w:rsid w:val="00B059A1"/>
    <w:rsid w:val="00B0699B"/>
    <w:rsid w:val="00B06CDC"/>
    <w:rsid w:val="00B07700"/>
    <w:rsid w:val="00B1182F"/>
    <w:rsid w:val="00B12D8F"/>
    <w:rsid w:val="00B13536"/>
    <w:rsid w:val="00B1418B"/>
    <w:rsid w:val="00B141A3"/>
    <w:rsid w:val="00B141FF"/>
    <w:rsid w:val="00B1453C"/>
    <w:rsid w:val="00B14930"/>
    <w:rsid w:val="00B14932"/>
    <w:rsid w:val="00B15F99"/>
    <w:rsid w:val="00B160FF"/>
    <w:rsid w:val="00B172BD"/>
    <w:rsid w:val="00B17D1A"/>
    <w:rsid w:val="00B20A9F"/>
    <w:rsid w:val="00B21195"/>
    <w:rsid w:val="00B23406"/>
    <w:rsid w:val="00B2456B"/>
    <w:rsid w:val="00B24B22"/>
    <w:rsid w:val="00B251F9"/>
    <w:rsid w:val="00B25310"/>
    <w:rsid w:val="00B26981"/>
    <w:rsid w:val="00B30BD0"/>
    <w:rsid w:val="00B3258E"/>
    <w:rsid w:val="00B32F8F"/>
    <w:rsid w:val="00B3492A"/>
    <w:rsid w:val="00B35565"/>
    <w:rsid w:val="00B35EA0"/>
    <w:rsid w:val="00B36234"/>
    <w:rsid w:val="00B408E1"/>
    <w:rsid w:val="00B412D5"/>
    <w:rsid w:val="00B4131D"/>
    <w:rsid w:val="00B424D1"/>
    <w:rsid w:val="00B463B3"/>
    <w:rsid w:val="00B46453"/>
    <w:rsid w:val="00B46746"/>
    <w:rsid w:val="00B4754E"/>
    <w:rsid w:val="00B50C01"/>
    <w:rsid w:val="00B50D70"/>
    <w:rsid w:val="00B50DE6"/>
    <w:rsid w:val="00B50FB5"/>
    <w:rsid w:val="00B52095"/>
    <w:rsid w:val="00B52858"/>
    <w:rsid w:val="00B531AC"/>
    <w:rsid w:val="00B53364"/>
    <w:rsid w:val="00B53CB0"/>
    <w:rsid w:val="00B54DE9"/>
    <w:rsid w:val="00B553EC"/>
    <w:rsid w:val="00B55E3F"/>
    <w:rsid w:val="00B56043"/>
    <w:rsid w:val="00B56689"/>
    <w:rsid w:val="00B56F37"/>
    <w:rsid w:val="00B57049"/>
    <w:rsid w:val="00B5715F"/>
    <w:rsid w:val="00B610C7"/>
    <w:rsid w:val="00B6128D"/>
    <w:rsid w:val="00B623C0"/>
    <w:rsid w:val="00B62EDB"/>
    <w:rsid w:val="00B633A2"/>
    <w:rsid w:val="00B6348E"/>
    <w:rsid w:val="00B6367C"/>
    <w:rsid w:val="00B63C1E"/>
    <w:rsid w:val="00B641FB"/>
    <w:rsid w:val="00B66FAB"/>
    <w:rsid w:val="00B72252"/>
    <w:rsid w:val="00B72928"/>
    <w:rsid w:val="00B74E41"/>
    <w:rsid w:val="00B75EE9"/>
    <w:rsid w:val="00B775C4"/>
    <w:rsid w:val="00B80468"/>
    <w:rsid w:val="00B82018"/>
    <w:rsid w:val="00B8708F"/>
    <w:rsid w:val="00B91332"/>
    <w:rsid w:val="00B92173"/>
    <w:rsid w:val="00B926E9"/>
    <w:rsid w:val="00B93CA3"/>
    <w:rsid w:val="00B93DD0"/>
    <w:rsid w:val="00B93EB9"/>
    <w:rsid w:val="00B9577F"/>
    <w:rsid w:val="00B95DDC"/>
    <w:rsid w:val="00B968E7"/>
    <w:rsid w:val="00B97732"/>
    <w:rsid w:val="00B97891"/>
    <w:rsid w:val="00B97B06"/>
    <w:rsid w:val="00BA0FD4"/>
    <w:rsid w:val="00BA1D47"/>
    <w:rsid w:val="00BA20B6"/>
    <w:rsid w:val="00BA23C0"/>
    <w:rsid w:val="00BA240A"/>
    <w:rsid w:val="00BA24F9"/>
    <w:rsid w:val="00BA257E"/>
    <w:rsid w:val="00BA2645"/>
    <w:rsid w:val="00BA2814"/>
    <w:rsid w:val="00BA3BB8"/>
    <w:rsid w:val="00BA471C"/>
    <w:rsid w:val="00BA4CBF"/>
    <w:rsid w:val="00BA5B19"/>
    <w:rsid w:val="00BA5D25"/>
    <w:rsid w:val="00BA65A8"/>
    <w:rsid w:val="00BA67F6"/>
    <w:rsid w:val="00BA6D19"/>
    <w:rsid w:val="00BA7461"/>
    <w:rsid w:val="00BA7DA9"/>
    <w:rsid w:val="00BB1728"/>
    <w:rsid w:val="00BB3628"/>
    <w:rsid w:val="00BB5008"/>
    <w:rsid w:val="00BB64D2"/>
    <w:rsid w:val="00BB66E6"/>
    <w:rsid w:val="00BB6DC8"/>
    <w:rsid w:val="00BC0DEE"/>
    <w:rsid w:val="00BC221F"/>
    <w:rsid w:val="00BC2322"/>
    <w:rsid w:val="00BC4215"/>
    <w:rsid w:val="00BC549D"/>
    <w:rsid w:val="00BC6774"/>
    <w:rsid w:val="00BC68BE"/>
    <w:rsid w:val="00BC6EEF"/>
    <w:rsid w:val="00BC733E"/>
    <w:rsid w:val="00BD11BE"/>
    <w:rsid w:val="00BD1A6F"/>
    <w:rsid w:val="00BD20AE"/>
    <w:rsid w:val="00BD2D57"/>
    <w:rsid w:val="00BD32C3"/>
    <w:rsid w:val="00BD32EF"/>
    <w:rsid w:val="00BD4AD8"/>
    <w:rsid w:val="00BD725F"/>
    <w:rsid w:val="00BE0D21"/>
    <w:rsid w:val="00BE1554"/>
    <w:rsid w:val="00BE3217"/>
    <w:rsid w:val="00BE5014"/>
    <w:rsid w:val="00BE5078"/>
    <w:rsid w:val="00BE6007"/>
    <w:rsid w:val="00BE6D3C"/>
    <w:rsid w:val="00BE6F47"/>
    <w:rsid w:val="00BE7301"/>
    <w:rsid w:val="00BE7747"/>
    <w:rsid w:val="00BE7852"/>
    <w:rsid w:val="00BF0516"/>
    <w:rsid w:val="00BF1160"/>
    <w:rsid w:val="00BF15C8"/>
    <w:rsid w:val="00BF18A9"/>
    <w:rsid w:val="00BF2131"/>
    <w:rsid w:val="00BF3B31"/>
    <w:rsid w:val="00BF4CFF"/>
    <w:rsid w:val="00BF4D81"/>
    <w:rsid w:val="00BF533F"/>
    <w:rsid w:val="00BF569F"/>
    <w:rsid w:val="00BF6E96"/>
    <w:rsid w:val="00BF70CF"/>
    <w:rsid w:val="00BF7138"/>
    <w:rsid w:val="00BF7CEE"/>
    <w:rsid w:val="00C020D0"/>
    <w:rsid w:val="00C0236C"/>
    <w:rsid w:val="00C0246A"/>
    <w:rsid w:val="00C032F2"/>
    <w:rsid w:val="00C03880"/>
    <w:rsid w:val="00C038A0"/>
    <w:rsid w:val="00C040F2"/>
    <w:rsid w:val="00C076EA"/>
    <w:rsid w:val="00C11857"/>
    <w:rsid w:val="00C11A32"/>
    <w:rsid w:val="00C135CF"/>
    <w:rsid w:val="00C13CD8"/>
    <w:rsid w:val="00C146E8"/>
    <w:rsid w:val="00C1613E"/>
    <w:rsid w:val="00C17518"/>
    <w:rsid w:val="00C21A85"/>
    <w:rsid w:val="00C22432"/>
    <w:rsid w:val="00C228AC"/>
    <w:rsid w:val="00C2525A"/>
    <w:rsid w:val="00C25B76"/>
    <w:rsid w:val="00C26655"/>
    <w:rsid w:val="00C2683F"/>
    <w:rsid w:val="00C26ECE"/>
    <w:rsid w:val="00C26F42"/>
    <w:rsid w:val="00C27A93"/>
    <w:rsid w:val="00C3063A"/>
    <w:rsid w:val="00C3184D"/>
    <w:rsid w:val="00C31E31"/>
    <w:rsid w:val="00C3208F"/>
    <w:rsid w:val="00C327F1"/>
    <w:rsid w:val="00C34C63"/>
    <w:rsid w:val="00C36595"/>
    <w:rsid w:val="00C367BC"/>
    <w:rsid w:val="00C403D8"/>
    <w:rsid w:val="00C4391F"/>
    <w:rsid w:val="00C44929"/>
    <w:rsid w:val="00C45AC5"/>
    <w:rsid w:val="00C45C5B"/>
    <w:rsid w:val="00C46FD5"/>
    <w:rsid w:val="00C4714E"/>
    <w:rsid w:val="00C505C9"/>
    <w:rsid w:val="00C5176D"/>
    <w:rsid w:val="00C51CCA"/>
    <w:rsid w:val="00C52373"/>
    <w:rsid w:val="00C53D01"/>
    <w:rsid w:val="00C5504F"/>
    <w:rsid w:val="00C55D52"/>
    <w:rsid w:val="00C55E31"/>
    <w:rsid w:val="00C56390"/>
    <w:rsid w:val="00C57B55"/>
    <w:rsid w:val="00C602FD"/>
    <w:rsid w:val="00C60740"/>
    <w:rsid w:val="00C629BE"/>
    <w:rsid w:val="00C63376"/>
    <w:rsid w:val="00C640C4"/>
    <w:rsid w:val="00C64449"/>
    <w:rsid w:val="00C66379"/>
    <w:rsid w:val="00C66383"/>
    <w:rsid w:val="00C6639A"/>
    <w:rsid w:val="00C66B62"/>
    <w:rsid w:val="00C66BA2"/>
    <w:rsid w:val="00C71106"/>
    <w:rsid w:val="00C71113"/>
    <w:rsid w:val="00C72271"/>
    <w:rsid w:val="00C734EF"/>
    <w:rsid w:val="00C74F97"/>
    <w:rsid w:val="00C75683"/>
    <w:rsid w:val="00C76AF4"/>
    <w:rsid w:val="00C76E8B"/>
    <w:rsid w:val="00C7730C"/>
    <w:rsid w:val="00C822F6"/>
    <w:rsid w:val="00C8276E"/>
    <w:rsid w:val="00C82DAE"/>
    <w:rsid w:val="00C83629"/>
    <w:rsid w:val="00C842AC"/>
    <w:rsid w:val="00C855DA"/>
    <w:rsid w:val="00C856AE"/>
    <w:rsid w:val="00C864FE"/>
    <w:rsid w:val="00C86A89"/>
    <w:rsid w:val="00C87C48"/>
    <w:rsid w:val="00C90703"/>
    <w:rsid w:val="00C9153F"/>
    <w:rsid w:val="00C915F4"/>
    <w:rsid w:val="00C91F80"/>
    <w:rsid w:val="00C92EA0"/>
    <w:rsid w:val="00C93374"/>
    <w:rsid w:val="00C94351"/>
    <w:rsid w:val="00C96548"/>
    <w:rsid w:val="00C9658B"/>
    <w:rsid w:val="00C96688"/>
    <w:rsid w:val="00C97AE3"/>
    <w:rsid w:val="00C97F59"/>
    <w:rsid w:val="00CA0723"/>
    <w:rsid w:val="00CA0C39"/>
    <w:rsid w:val="00CA0FE1"/>
    <w:rsid w:val="00CA17B1"/>
    <w:rsid w:val="00CA20D8"/>
    <w:rsid w:val="00CA2388"/>
    <w:rsid w:val="00CA2572"/>
    <w:rsid w:val="00CA2F5C"/>
    <w:rsid w:val="00CA3327"/>
    <w:rsid w:val="00CA3538"/>
    <w:rsid w:val="00CA4776"/>
    <w:rsid w:val="00CA5476"/>
    <w:rsid w:val="00CA594E"/>
    <w:rsid w:val="00CA6064"/>
    <w:rsid w:val="00CA642E"/>
    <w:rsid w:val="00CA7316"/>
    <w:rsid w:val="00CB0777"/>
    <w:rsid w:val="00CB0A88"/>
    <w:rsid w:val="00CB1690"/>
    <w:rsid w:val="00CB1A6E"/>
    <w:rsid w:val="00CB1FBE"/>
    <w:rsid w:val="00CB2708"/>
    <w:rsid w:val="00CB514C"/>
    <w:rsid w:val="00CC1290"/>
    <w:rsid w:val="00CC137A"/>
    <w:rsid w:val="00CC20C0"/>
    <w:rsid w:val="00CC29F5"/>
    <w:rsid w:val="00CC39F9"/>
    <w:rsid w:val="00CC4365"/>
    <w:rsid w:val="00CC4ED2"/>
    <w:rsid w:val="00CC53E9"/>
    <w:rsid w:val="00CC545C"/>
    <w:rsid w:val="00CC56AF"/>
    <w:rsid w:val="00CD04E6"/>
    <w:rsid w:val="00CD11B0"/>
    <w:rsid w:val="00CD11C3"/>
    <w:rsid w:val="00CD124E"/>
    <w:rsid w:val="00CD17AF"/>
    <w:rsid w:val="00CD2623"/>
    <w:rsid w:val="00CD2C47"/>
    <w:rsid w:val="00CD34A5"/>
    <w:rsid w:val="00CD542A"/>
    <w:rsid w:val="00CD637E"/>
    <w:rsid w:val="00CE1188"/>
    <w:rsid w:val="00CE1701"/>
    <w:rsid w:val="00CE2B18"/>
    <w:rsid w:val="00CE5C01"/>
    <w:rsid w:val="00CE71C2"/>
    <w:rsid w:val="00CF0845"/>
    <w:rsid w:val="00CF0DC0"/>
    <w:rsid w:val="00CF0ECD"/>
    <w:rsid w:val="00CF13B8"/>
    <w:rsid w:val="00CF2727"/>
    <w:rsid w:val="00CF34E9"/>
    <w:rsid w:val="00CF3817"/>
    <w:rsid w:val="00CF4267"/>
    <w:rsid w:val="00CF42D5"/>
    <w:rsid w:val="00CF46F6"/>
    <w:rsid w:val="00CF4EDA"/>
    <w:rsid w:val="00CF5656"/>
    <w:rsid w:val="00CF7342"/>
    <w:rsid w:val="00CF7674"/>
    <w:rsid w:val="00CF7F65"/>
    <w:rsid w:val="00D0040E"/>
    <w:rsid w:val="00D01510"/>
    <w:rsid w:val="00D021CB"/>
    <w:rsid w:val="00D031AF"/>
    <w:rsid w:val="00D03260"/>
    <w:rsid w:val="00D03B75"/>
    <w:rsid w:val="00D0463A"/>
    <w:rsid w:val="00D0646A"/>
    <w:rsid w:val="00D06B14"/>
    <w:rsid w:val="00D07793"/>
    <w:rsid w:val="00D10631"/>
    <w:rsid w:val="00D10CFE"/>
    <w:rsid w:val="00D10D3E"/>
    <w:rsid w:val="00D10F1A"/>
    <w:rsid w:val="00D116F8"/>
    <w:rsid w:val="00D1322A"/>
    <w:rsid w:val="00D156CA"/>
    <w:rsid w:val="00D159E8"/>
    <w:rsid w:val="00D15EDC"/>
    <w:rsid w:val="00D17417"/>
    <w:rsid w:val="00D17596"/>
    <w:rsid w:val="00D17D85"/>
    <w:rsid w:val="00D21D54"/>
    <w:rsid w:val="00D22640"/>
    <w:rsid w:val="00D22EC7"/>
    <w:rsid w:val="00D23A57"/>
    <w:rsid w:val="00D23C86"/>
    <w:rsid w:val="00D23E11"/>
    <w:rsid w:val="00D24458"/>
    <w:rsid w:val="00D2557D"/>
    <w:rsid w:val="00D25BE9"/>
    <w:rsid w:val="00D26D3A"/>
    <w:rsid w:val="00D27412"/>
    <w:rsid w:val="00D27E62"/>
    <w:rsid w:val="00D27EF6"/>
    <w:rsid w:val="00D301A2"/>
    <w:rsid w:val="00D30868"/>
    <w:rsid w:val="00D3264C"/>
    <w:rsid w:val="00D350C6"/>
    <w:rsid w:val="00D3603D"/>
    <w:rsid w:val="00D36441"/>
    <w:rsid w:val="00D36FA2"/>
    <w:rsid w:val="00D37019"/>
    <w:rsid w:val="00D37D5E"/>
    <w:rsid w:val="00D37F2C"/>
    <w:rsid w:val="00D40967"/>
    <w:rsid w:val="00D411AA"/>
    <w:rsid w:val="00D419F3"/>
    <w:rsid w:val="00D42CA9"/>
    <w:rsid w:val="00D43DB8"/>
    <w:rsid w:val="00D44A27"/>
    <w:rsid w:val="00D45227"/>
    <w:rsid w:val="00D45BBE"/>
    <w:rsid w:val="00D45EE3"/>
    <w:rsid w:val="00D50618"/>
    <w:rsid w:val="00D509E9"/>
    <w:rsid w:val="00D51356"/>
    <w:rsid w:val="00D521A6"/>
    <w:rsid w:val="00D53B1C"/>
    <w:rsid w:val="00D5565D"/>
    <w:rsid w:val="00D55B9C"/>
    <w:rsid w:val="00D57C55"/>
    <w:rsid w:val="00D57D3F"/>
    <w:rsid w:val="00D61C1D"/>
    <w:rsid w:val="00D6241E"/>
    <w:rsid w:val="00D648FD"/>
    <w:rsid w:val="00D6496C"/>
    <w:rsid w:val="00D65290"/>
    <w:rsid w:val="00D65431"/>
    <w:rsid w:val="00D6621D"/>
    <w:rsid w:val="00D73892"/>
    <w:rsid w:val="00D747EB"/>
    <w:rsid w:val="00D75B19"/>
    <w:rsid w:val="00D774B1"/>
    <w:rsid w:val="00D81FC8"/>
    <w:rsid w:val="00D82E35"/>
    <w:rsid w:val="00D833D2"/>
    <w:rsid w:val="00D853CD"/>
    <w:rsid w:val="00D86359"/>
    <w:rsid w:val="00D86630"/>
    <w:rsid w:val="00D86C05"/>
    <w:rsid w:val="00D86C26"/>
    <w:rsid w:val="00D90842"/>
    <w:rsid w:val="00D9131C"/>
    <w:rsid w:val="00D92544"/>
    <w:rsid w:val="00D93B42"/>
    <w:rsid w:val="00D93C96"/>
    <w:rsid w:val="00D93E99"/>
    <w:rsid w:val="00D93F57"/>
    <w:rsid w:val="00D96308"/>
    <w:rsid w:val="00DA01D3"/>
    <w:rsid w:val="00DA0873"/>
    <w:rsid w:val="00DA1396"/>
    <w:rsid w:val="00DA16CA"/>
    <w:rsid w:val="00DA1B12"/>
    <w:rsid w:val="00DA4A33"/>
    <w:rsid w:val="00DA54C9"/>
    <w:rsid w:val="00DA6739"/>
    <w:rsid w:val="00DA6CAE"/>
    <w:rsid w:val="00DA6E2A"/>
    <w:rsid w:val="00DA755E"/>
    <w:rsid w:val="00DB0C3C"/>
    <w:rsid w:val="00DB13D9"/>
    <w:rsid w:val="00DB1A9E"/>
    <w:rsid w:val="00DB1C1C"/>
    <w:rsid w:val="00DB250B"/>
    <w:rsid w:val="00DB31D6"/>
    <w:rsid w:val="00DB3628"/>
    <w:rsid w:val="00DB3C86"/>
    <w:rsid w:val="00DB4005"/>
    <w:rsid w:val="00DB40BF"/>
    <w:rsid w:val="00DB636D"/>
    <w:rsid w:val="00DC0DA6"/>
    <w:rsid w:val="00DC3417"/>
    <w:rsid w:val="00DC34EB"/>
    <w:rsid w:val="00DC4BF1"/>
    <w:rsid w:val="00DC5ADC"/>
    <w:rsid w:val="00DC6998"/>
    <w:rsid w:val="00DD0F4E"/>
    <w:rsid w:val="00DD2D4B"/>
    <w:rsid w:val="00DD39BF"/>
    <w:rsid w:val="00DD64E7"/>
    <w:rsid w:val="00DD7407"/>
    <w:rsid w:val="00DE02B0"/>
    <w:rsid w:val="00DE0505"/>
    <w:rsid w:val="00DE2AD1"/>
    <w:rsid w:val="00DE3552"/>
    <w:rsid w:val="00DE37B7"/>
    <w:rsid w:val="00DE4642"/>
    <w:rsid w:val="00DE5B6D"/>
    <w:rsid w:val="00DE6313"/>
    <w:rsid w:val="00DE6584"/>
    <w:rsid w:val="00DE7161"/>
    <w:rsid w:val="00DF0212"/>
    <w:rsid w:val="00DF113B"/>
    <w:rsid w:val="00DF1E5B"/>
    <w:rsid w:val="00DF20F3"/>
    <w:rsid w:val="00DF2275"/>
    <w:rsid w:val="00DF3F5E"/>
    <w:rsid w:val="00DF4ABF"/>
    <w:rsid w:val="00DF52B2"/>
    <w:rsid w:val="00DF5653"/>
    <w:rsid w:val="00DF6190"/>
    <w:rsid w:val="00DF7279"/>
    <w:rsid w:val="00DF7532"/>
    <w:rsid w:val="00DF77E8"/>
    <w:rsid w:val="00DF7C7A"/>
    <w:rsid w:val="00E00544"/>
    <w:rsid w:val="00E005ED"/>
    <w:rsid w:val="00E00AE0"/>
    <w:rsid w:val="00E00DCD"/>
    <w:rsid w:val="00E01598"/>
    <w:rsid w:val="00E01A89"/>
    <w:rsid w:val="00E01BF1"/>
    <w:rsid w:val="00E01EC4"/>
    <w:rsid w:val="00E0226A"/>
    <w:rsid w:val="00E02B91"/>
    <w:rsid w:val="00E03377"/>
    <w:rsid w:val="00E03A2C"/>
    <w:rsid w:val="00E03BD3"/>
    <w:rsid w:val="00E0596E"/>
    <w:rsid w:val="00E05F58"/>
    <w:rsid w:val="00E06F66"/>
    <w:rsid w:val="00E07013"/>
    <w:rsid w:val="00E07A13"/>
    <w:rsid w:val="00E07A2D"/>
    <w:rsid w:val="00E07FAD"/>
    <w:rsid w:val="00E10397"/>
    <w:rsid w:val="00E109D3"/>
    <w:rsid w:val="00E110CB"/>
    <w:rsid w:val="00E1223A"/>
    <w:rsid w:val="00E12C60"/>
    <w:rsid w:val="00E1330F"/>
    <w:rsid w:val="00E13BAE"/>
    <w:rsid w:val="00E14017"/>
    <w:rsid w:val="00E14A19"/>
    <w:rsid w:val="00E14E3C"/>
    <w:rsid w:val="00E156E4"/>
    <w:rsid w:val="00E17A7A"/>
    <w:rsid w:val="00E202BB"/>
    <w:rsid w:val="00E21000"/>
    <w:rsid w:val="00E211F2"/>
    <w:rsid w:val="00E21D49"/>
    <w:rsid w:val="00E22A44"/>
    <w:rsid w:val="00E23393"/>
    <w:rsid w:val="00E24A89"/>
    <w:rsid w:val="00E2628A"/>
    <w:rsid w:val="00E26AB7"/>
    <w:rsid w:val="00E276EA"/>
    <w:rsid w:val="00E27D52"/>
    <w:rsid w:val="00E306B4"/>
    <w:rsid w:val="00E31D17"/>
    <w:rsid w:val="00E334E5"/>
    <w:rsid w:val="00E34059"/>
    <w:rsid w:val="00E3411C"/>
    <w:rsid w:val="00E346D7"/>
    <w:rsid w:val="00E34BF0"/>
    <w:rsid w:val="00E356E5"/>
    <w:rsid w:val="00E357BC"/>
    <w:rsid w:val="00E36085"/>
    <w:rsid w:val="00E363A6"/>
    <w:rsid w:val="00E36F81"/>
    <w:rsid w:val="00E370AA"/>
    <w:rsid w:val="00E370BB"/>
    <w:rsid w:val="00E372FC"/>
    <w:rsid w:val="00E37622"/>
    <w:rsid w:val="00E37D08"/>
    <w:rsid w:val="00E40035"/>
    <w:rsid w:val="00E41B34"/>
    <w:rsid w:val="00E41CBD"/>
    <w:rsid w:val="00E41DB0"/>
    <w:rsid w:val="00E4425F"/>
    <w:rsid w:val="00E44D3C"/>
    <w:rsid w:val="00E45765"/>
    <w:rsid w:val="00E45B70"/>
    <w:rsid w:val="00E46022"/>
    <w:rsid w:val="00E472B8"/>
    <w:rsid w:val="00E4777D"/>
    <w:rsid w:val="00E47FC6"/>
    <w:rsid w:val="00E5098C"/>
    <w:rsid w:val="00E50D91"/>
    <w:rsid w:val="00E54722"/>
    <w:rsid w:val="00E55312"/>
    <w:rsid w:val="00E557DB"/>
    <w:rsid w:val="00E60213"/>
    <w:rsid w:val="00E6078F"/>
    <w:rsid w:val="00E611FF"/>
    <w:rsid w:val="00E617EC"/>
    <w:rsid w:val="00E620F9"/>
    <w:rsid w:val="00E629B6"/>
    <w:rsid w:val="00E6332E"/>
    <w:rsid w:val="00E63E36"/>
    <w:rsid w:val="00E65370"/>
    <w:rsid w:val="00E661B2"/>
    <w:rsid w:val="00E662C0"/>
    <w:rsid w:val="00E66395"/>
    <w:rsid w:val="00E70FBC"/>
    <w:rsid w:val="00E72EB4"/>
    <w:rsid w:val="00E73058"/>
    <w:rsid w:val="00E74198"/>
    <w:rsid w:val="00E74D29"/>
    <w:rsid w:val="00E75595"/>
    <w:rsid w:val="00E76D06"/>
    <w:rsid w:val="00E7729F"/>
    <w:rsid w:val="00E774CB"/>
    <w:rsid w:val="00E77B9E"/>
    <w:rsid w:val="00E77E89"/>
    <w:rsid w:val="00E813AD"/>
    <w:rsid w:val="00E81844"/>
    <w:rsid w:val="00E81B48"/>
    <w:rsid w:val="00E821D4"/>
    <w:rsid w:val="00E825FB"/>
    <w:rsid w:val="00E827D8"/>
    <w:rsid w:val="00E82831"/>
    <w:rsid w:val="00E83C74"/>
    <w:rsid w:val="00E83CEE"/>
    <w:rsid w:val="00E84000"/>
    <w:rsid w:val="00E84A23"/>
    <w:rsid w:val="00E84D93"/>
    <w:rsid w:val="00E8562F"/>
    <w:rsid w:val="00E86B42"/>
    <w:rsid w:val="00E87085"/>
    <w:rsid w:val="00E870DB"/>
    <w:rsid w:val="00E87461"/>
    <w:rsid w:val="00E875EF"/>
    <w:rsid w:val="00E91343"/>
    <w:rsid w:val="00E91F18"/>
    <w:rsid w:val="00E921ED"/>
    <w:rsid w:val="00E9226D"/>
    <w:rsid w:val="00E934DD"/>
    <w:rsid w:val="00E93793"/>
    <w:rsid w:val="00E93A56"/>
    <w:rsid w:val="00E93B25"/>
    <w:rsid w:val="00E95733"/>
    <w:rsid w:val="00E95A0B"/>
    <w:rsid w:val="00E96C1A"/>
    <w:rsid w:val="00E974D6"/>
    <w:rsid w:val="00EA0233"/>
    <w:rsid w:val="00EA0292"/>
    <w:rsid w:val="00EA182E"/>
    <w:rsid w:val="00EA3A39"/>
    <w:rsid w:val="00EA416C"/>
    <w:rsid w:val="00EA5941"/>
    <w:rsid w:val="00EA66A4"/>
    <w:rsid w:val="00EA66A8"/>
    <w:rsid w:val="00EA7744"/>
    <w:rsid w:val="00EB0C23"/>
    <w:rsid w:val="00EB1317"/>
    <w:rsid w:val="00EB2297"/>
    <w:rsid w:val="00EB263D"/>
    <w:rsid w:val="00EB2F29"/>
    <w:rsid w:val="00EB2FD0"/>
    <w:rsid w:val="00EB3581"/>
    <w:rsid w:val="00EB3814"/>
    <w:rsid w:val="00EB60CE"/>
    <w:rsid w:val="00EB68D7"/>
    <w:rsid w:val="00EB77DB"/>
    <w:rsid w:val="00EB7D53"/>
    <w:rsid w:val="00EC0EAE"/>
    <w:rsid w:val="00EC2302"/>
    <w:rsid w:val="00EC2859"/>
    <w:rsid w:val="00EC46D3"/>
    <w:rsid w:val="00EC551C"/>
    <w:rsid w:val="00EC55FE"/>
    <w:rsid w:val="00EC5AA1"/>
    <w:rsid w:val="00EC790A"/>
    <w:rsid w:val="00EC7F59"/>
    <w:rsid w:val="00ED1B77"/>
    <w:rsid w:val="00ED1CDD"/>
    <w:rsid w:val="00ED2281"/>
    <w:rsid w:val="00ED3DCF"/>
    <w:rsid w:val="00ED5739"/>
    <w:rsid w:val="00ED6CAC"/>
    <w:rsid w:val="00EE00F0"/>
    <w:rsid w:val="00EE025C"/>
    <w:rsid w:val="00EE10C6"/>
    <w:rsid w:val="00EE26E4"/>
    <w:rsid w:val="00EE29D9"/>
    <w:rsid w:val="00EE2CFA"/>
    <w:rsid w:val="00EE3146"/>
    <w:rsid w:val="00EE3269"/>
    <w:rsid w:val="00EE4633"/>
    <w:rsid w:val="00EE4B97"/>
    <w:rsid w:val="00EE4BF7"/>
    <w:rsid w:val="00EE6ED5"/>
    <w:rsid w:val="00EE6FCF"/>
    <w:rsid w:val="00EF1449"/>
    <w:rsid w:val="00EF17CF"/>
    <w:rsid w:val="00EF29D8"/>
    <w:rsid w:val="00EF4572"/>
    <w:rsid w:val="00EF50BB"/>
    <w:rsid w:val="00EF50C6"/>
    <w:rsid w:val="00EF53FF"/>
    <w:rsid w:val="00EF5759"/>
    <w:rsid w:val="00EF58C6"/>
    <w:rsid w:val="00EF6739"/>
    <w:rsid w:val="00EF68E0"/>
    <w:rsid w:val="00F00192"/>
    <w:rsid w:val="00F01829"/>
    <w:rsid w:val="00F01DF6"/>
    <w:rsid w:val="00F0340D"/>
    <w:rsid w:val="00F0536E"/>
    <w:rsid w:val="00F059A6"/>
    <w:rsid w:val="00F07325"/>
    <w:rsid w:val="00F07C25"/>
    <w:rsid w:val="00F10ABF"/>
    <w:rsid w:val="00F119F6"/>
    <w:rsid w:val="00F1314C"/>
    <w:rsid w:val="00F13536"/>
    <w:rsid w:val="00F140CC"/>
    <w:rsid w:val="00F141D3"/>
    <w:rsid w:val="00F15671"/>
    <w:rsid w:val="00F175F9"/>
    <w:rsid w:val="00F17D1D"/>
    <w:rsid w:val="00F2015E"/>
    <w:rsid w:val="00F21F1A"/>
    <w:rsid w:val="00F225A4"/>
    <w:rsid w:val="00F22F9A"/>
    <w:rsid w:val="00F22FDC"/>
    <w:rsid w:val="00F23468"/>
    <w:rsid w:val="00F23756"/>
    <w:rsid w:val="00F23B38"/>
    <w:rsid w:val="00F248B5"/>
    <w:rsid w:val="00F2523A"/>
    <w:rsid w:val="00F25FE3"/>
    <w:rsid w:val="00F25FFA"/>
    <w:rsid w:val="00F26D42"/>
    <w:rsid w:val="00F27CF6"/>
    <w:rsid w:val="00F3085D"/>
    <w:rsid w:val="00F30F39"/>
    <w:rsid w:val="00F310D2"/>
    <w:rsid w:val="00F31A8E"/>
    <w:rsid w:val="00F34F86"/>
    <w:rsid w:val="00F35596"/>
    <w:rsid w:val="00F36F3D"/>
    <w:rsid w:val="00F37384"/>
    <w:rsid w:val="00F374ED"/>
    <w:rsid w:val="00F374F9"/>
    <w:rsid w:val="00F4095A"/>
    <w:rsid w:val="00F40DB5"/>
    <w:rsid w:val="00F4139A"/>
    <w:rsid w:val="00F41DA8"/>
    <w:rsid w:val="00F42F02"/>
    <w:rsid w:val="00F44908"/>
    <w:rsid w:val="00F47276"/>
    <w:rsid w:val="00F477BD"/>
    <w:rsid w:val="00F519C8"/>
    <w:rsid w:val="00F51ED6"/>
    <w:rsid w:val="00F523E9"/>
    <w:rsid w:val="00F529C5"/>
    <w:rsid w:val="00F52D23"/>
    <w:rsid w:val="00F53491"/>
    <w:rsid w:val="00F542C7"/>
    <w:rsid w:val="00F54662"/>
    <w:rsid w:val="00F54840"/>
    <w:rsid w:val="00F54A2B"/>
    <w:rsid w:val="00F5543B"/>
    <w:rsid w:val="00F56FD2"/>
    <w:rsid w:val="00F57279"/>
    <w:rsid w:val="00F57519"/>
    <w:rsid w:val="00F608BD"/>
    <w:rsid w:val="00F610FD"/>
    <w:rsid w:val="00F62CE9"/>
    <w:rsid w:val="00F636BC"/>
    <w:rsid w:val="00F648EE"/>
    <w:rsid w:val="00F65117"/>
    <w:rsid w:val="00F65209"/>
    <w:rsid w:val="00F6578C"/>
    <w:rsid w:val="00F65A1C"/>
    <w:rsid w:val="00F65FAE"/>
    <w:rsid w:val="00F66F50"/>
    <w:rsid w:val="00F67377"/>
    <w:rsid w:val="00F710C5"/>
    <w:rsid w:val="00F7183B"/>
    <w:rsid w:val="00F720C8"/>
    <w:rsid w:val="00F75BD9"/>
    <w:rsid w:val="00F76FAA"/>
    <w:rsid w:val="00F77517"/>
    <w:rsid w:val="00F80A69"/>
    <w:rsid w:val="00F82FF8"/>
    <w:rsid w:val="00F8330D"/>
    <w:rsid w:val="00F834C2"/>
    <w:rsid w:val="00F83B10"/>
    <w:rsid w:val="00F84305"/>
    <w:rsid w:val="00F84772"/>
    <w:rsid w:val="00F8485C"/>
    <w:rsid w:val="00F84B60"/>
    <w:rsid w:val="00F84FBA"/>
    <w:rsid w:val="00F87149"/>
    <w:rsid w:val="00F87FFE"/>
    <w:rsid w:val="00F90090"/>
    <w:rsid w:val="00F9092F"/>
    <w:rsid w:val="00F910E3"/>
    <w:rsid w:val="00F92B7D"/>
    <w:rsid w:val="00F93CA8"/>
    <w:rsid w:val="00F954C9"/>
    <w:rsid w:val="00F96344"/>
    <w:rsid w:val="00F96F4A"/>
    <w:rsid w:val="00F975BE"/>
    <w:rsid w:val="00FA062E"/>
    <w:rsid w:val="00FA1662"/>
    <w:rsid w:val="00FA1DC9"/>
    <w:rsid w:val="00FA2002"/>
    <w:rsid w:val="00FA29B3"/>
    <w:rsid w:val="00FA2D2A"/>
    <w:rsid w:val="00FA4130"/>
    <w:rsid w:val="00FA418F"/>
    <w:rsid w:val="00FA4CF0"/>
    <w:rsid w:val="00FA61AA"/>
    <w:rsid w:val="00FA69A4"/>
    <w:rsid w:val="00FA7156"/>
    <w:rsid w:val="00FB04F2"/>
    <w:rsid w:val="00FB1279"/>
    <w:rsid w:val="00FB12DB"/>
    <w:rsid w:val="00FB1495"/>
    <w:rsid w:val="00FB1C0A"/>
    <w:rsid w:val="00FB1EC1"/>
    <w:rsid w:val="00FB2F0A"/>
    <w:rsid w:val="00FB3CF3"/>
    <w:rsid w:val="00FB405A"/>
    <w:rsid w:val="00FB4207"/>
    <w:rsid w:val="00FB4457"/>
    <w:rsid w:val="00FB4B96"/>
    <w:rsid w:val="00FB5DD6"/>
    <w:rsid w:val="00FB6D27"/>
    <w:rsid w:val="00FB75B8"/>
    <w:rsid w:val="00FC02BB"/>
    <w:rsid w:val="00FC145C"/>
    <w:rsid w:val="00FC342C"/>
    <w:rsid w:val="00FC46A9"/>
    <w:rsid w:val="00FC511C"/>
    <w:rsid w:val="00FC5CBE"/>
    <w:rsid w:val="00FD0061"/>
    <w:rsid w:val="00FD0B50"/>
    <w:rsid w:val="00FD10B2"/>
    <w:rsid w:val="00FD1694"/>
    <w:rsid w:val="00FD2635"/>
    <w:rsid w:val="00FD38D7"/>
    <w:rsid w:val="00FD394C"/>
    <w:rsid w:val="00FD404C"/>
    <w:rsid w:val="00FD4E44"/>
    <w:rsid w:val="00FD5A33"/>
    <w:rsid w:val="00FD6481"/>
    <w:rsid w:val="00FD652D"/>
    <w:rsid w:val="00FD6548"/>
    <w:rsid w:val="00FD7636"/>
    <w:rsid w:val="00FD7B2D"/>
    <w:rsid w:val="00FE09E3"/>
    <w:rsid w:val="00FE09E5"/>
    <w:rsid w:val="00FE1F2B"/>
    <w:rsid w:val="00FE3229"/>
    <w:rsid w:val="00FE59FD"/>
    <w:rsid w:val="00FE74C3"/>
    <w:rsid w:val="00FF0CEA"/>
    <w:rsid w:val="00FF0F3C"/>
    <w:rsid w:val="00FF19D4"/>
    <w:rsid w:val="00FF1AC4"/>
    <w:rsid w:val="00FF1F9C"/>
    <w:rsid w:val="00FF215C"/>
    <w:rsid w:val="00FF3C2D"/>
    <w:rsid w:val="00FF3CBB"/>
    <w:rsid w:val="00FF49E8"/>
    <w:rsid w:val="00FF5001"/>
    <w:rsid w:val="00FF5AA3"/>
    <w:rsid w:val="00FF672F"/>
    <w:rsid w:val="00FF7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A8030A2"/>
  <w15:chartTrackingRefBased/>
  <w15:docId w15:val="{BDC9E9E4-3E25-4AB1-BB78-B4A54FDF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8D54CD"/>
    <w:pPr>
      <w:keepNext/>
      <w:pageBreakBefore/>
      <w:ind w:left="432" w:hanging="432"/>
      <w:outlineLvl w:val="0"/>
    </w:pPr>
    <w:rPr>
      <w:rFonts w:cs="Arial"/>
      <w:b/>
      <w:caps/>
      <w:color w:val="159DCE"/>
      <w:sz w:val="34"/>
      <w:szCs w:val="34"/>
    </w:rPr>
  </w:style>
  <w:style w:type="paragraph" w:styleId="Heading2">
    <w:name w:val="heading 2"/>
    <w:basedOn w:val="CCALevel2"/>
    <w:next w:val="Normal"/>
    <w:link w:val="Heading2Char"/>
    <w:uiPriority w:val="9"/>
    <w:qFormat/>
    <w:rsid w:val="009130A7"/>
    <w:pPr>
      <w:numPr>
        <w:ilvl w:val="1"/>
        <w:numId w:val="44"/>
      </w:numPr>
      <w:spacing w:before="120"/>
      <w:outlineLvl w:val="1"/>
    </w:pPr>
    <w:rPr>
      <w:b/>
      <w:caps/>
      <w:color w:val="159DCE"/>
    </w:rPr>
  </w:style>
  <w:style w:type="paragraph" w:styleId="Heading3">
    <w:name w:val="heading 3"/>
    <w:basedOn w:val="Heading2"/>
    <w:next w:val="Normal"/>
    <w:link w:val="Heading3Char"/>
    <w:uiPriority w:val="9"/>
    <w:qFormat/>
    <w:rsid w:val="009130A7"/>
    <w:pPr>
      <w:numPr>
        <w:ilvl w:val="2"/>
      </w:numPr>
      <w:outlineLvl w:val="2"/>
    </w:pPr>
    <w:rPr>
      <w:b w:val="0"/>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8D54CD"/>
    <w:rPr>
      <w:rFonts w:cs="Arial"/>
      <w:b/>
      <w:caps/>
      <w:color w:val="159DCE"/>
      <w:sz w:val="34"/>
      <w:szCs w:val="34"/>
      <w:lang w:eastAsia="en-US"/>
    </w:rPr>
  </w:style>
  <w:style w:type="character" w:customStyle="1" w:styleId="Heading2Char">
    <w:name w:val="Heading 2 Char"/>
    <w:basedOn w:val="DefaultParagraphFont"/>
    <w:link w:val="Heading2"/>
    <w:uiPriority w:val="9"/>
    <w:rsid w:val="009130A7"/>
    <w:rPr>
      <w:b/>
      <w:caps/>
      <w:color w:val="159DCE"/>
      <w:sz w:val="22"/>
      <w:szCs w:val="22"/>
      <w:lang w:eastAsia="en-US"/>
    </w:rPr>
  </w:style>
  <w:style w:type="character" w:customStyle="1" w:styleId="Heading3Char">
    <w:name w:val="Heading 3 Char"/>
    <w:basedOn w:val="DefaultParagraphFont"/>
    <w:link w:val="Heading3"/>
    <w:uiPriority w:val="9"/>
    <w:rsid w:val="009130A7"/>
    <w:rPr>
      <w:caps/>
      <w:color w:val="159DCE"/>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D43DB8"/>
    <w:pPr>
      <w:numPr>
        <w:numId w:val="24"/>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link w:val="TabletextChar"/>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CCALevel2">
    <w:name w:val="CCA Level 2"/>
    <w:basedOn w:val="Normal"/>
    <w:link w:val="CCALevel2Char"/>
    <w:qFormat/>
    <w:rsid w:val="006D0CD4"/>
    <w:pPr>
      <w:ind w:left="576" w:hanging="576"/>
    </w:pPr>
  </w:style>
  <w:style w:type="paragraph" w:customStyle="1" w:styleId="CCALevel3">
    <w:name w:val="CCA Level 3"/>
    <w:basedOn w:val="Normal"/>
    <w:link w:val="CCALevel3Char"/>
    <w:qFormat/>
    <w:rsid w:val="006D0CD4"/>
  </w:style>
  <w:style w:type="paragraph" w:styleId="Caption">
    <w:name w:val="caption"/>
    <w:basedOn w:val="Normal"/>
    <w:next w:val="Normal"/>
    <w:link w:val="CaptionChar"/>
    <w:uiPriority w:val="35"/>
    <w:qFormat/>
    <w:rsid w:val="00AC318C"/>
    <w:pPr>
      <w:keepNext/>
      <w:tabs>
        <w:tab w:val="left" w:pos="1418"/>
      </w:tabs>
      <w:spacing w:after="0" w:line="220" w:lineRule="exact"/>
      <w:ind w:left="1418" w:hanging="1418"/>
    </w:pPr>
    <w:rPr>
      <w:rFonts w:eastAsiaTheme="minorHAnsi" w:cstheme="minorBidi"/>
      <w:bCs/>
      <w:color w:val="414141"/>
      <w:szCs w:val="18"/>
    </w:rPr>
  </w:style>
  <w:style w:type="paragraph" w:customStyle="1" w:styleId="FigureTableHeader">
    <w:name w:val="Figure/Table Header"/>
    <w:basedOn w:val="Normal"/>
    <w:qFormat/>
    <w:rsid w:val="00AC318C"/>
    <w:pPr>
      <w:keepNext/>
      <w:pBdr>
        <w:top w:val="dotted" w:sz="18" w:space="1" w:color="6E8DB0"/>
      </w:pBdr>
      <w:spacing w:after="140" w:line="220" w:lineRule="exact"/>
      <w:ind w:left="1134" w:hanging="1134"/>
    </w:pPr>
    <w:rPr>
      <w:rFonts w:eastAsiaTheme="minorHAnsi" w:cstheme="minorBidi"/>
      <w:caps/>
      <w:color w:val="159DCE"/>
    </w:rPr>
  </w:style>
  <w:style w:type="paragraph" w:customStyle="1" w:styleId="TableHeadingRightAligned">
    <w:name w:val="Table Heading (Right Aligned)"/>
    <w:basedOn w:val="Normal"/>
    <w:qFormat/>
    <w:rsid w:val="00AC318C"/>
    <w:pPr>
      <w:keepNext/>
      <w:spacing w:after="40" w:line="160" w:lineRule="exact"/>
      <w:jc w:val="right"/>
    </w:pPr>
    <w:rPr>
      <w:rFonts w:ascii="Arial Bold" w:eastAsia="Times New Roman" w:hAnsi="Arial Bold"/>
      <w:caps/>
      <w:color w:val="FFFFFF" w:themeColor="background1"/>
      <w:spacing w:val="6"/>
      <w:sz w:val="16"/>
      <w:szCs w:val="24"/>
      <w:lang w:eastAsia="en-GB"/>
    </w:rPr>
  </w:style>
  <w:style w:type="table" w:styleId="PlainTable3">
    <w:name w:val="Plain Table 3"/>
    <w:basedOn w:val="TableNormal"/>
    <w:uiPriority w:val="43"/>
    <w:rsid w:val="00AC31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
    <w:name w:val="Footnote"/>
    <w:basedOn w:val="Normal"/>
    <w:qFormat/>
    <w:rsid w:val="00AC318C"/>
    <w:pPr>
      <w:spacing w:after="140" w:line="240" w:lineRule="auto"/>
    </w:pPr>
    <w:rPr>
      <w:sz w:val="17"/>
      <w:szCs w:val="16"/>
    </w:rPr>
  </w:style>
  <w:style w:type="paragraph" w:customStyle="1" w:styleId="CCAFigure">
    <w:name w:val="CCA Figure"/>
    <w:basedOn w:val="Normal"/>
    <w:qFormat/>
    <w:rsid w:val="00AC318C"/>
    <w:pPr>
      <w:spacing w:after="140" w:line="220" w:lineRule="exact"/>
    </w:pPr>
    <w:rPr>
      <w:rFonts w:eastAsiaTheme="minorHAnsi" w:cstheme="minorBidi"/>
      <w:caps/>
      <w:color w:val="159DCE"/>
    </w:rPr>
  </w:style>
  <w:style w:type="paragraph" w:customStyle="1" w:styleId="CCATabletext">
    <w:name w:val="CCA Table text"/>
    <w:link w:val="CCATabletextChar"/>
    <w:qFormat/>
    <w:rsid w:val="00AC318C"/>
    <w:pPr>
      <w:spacing w:before="40" w:after="40" w:line="200" w:lineRule="exact"/>
    </w:pPr>
    <w:rPr>
      <w:color w:val="000000" w:themeColor="text1"/>
      <w:sz w:val="18"/>
      <w:szCs w:val="18"/>
      <w:lang w:eastAsia="en-US"/>
    </w:rPr>
  </w:style>
  <w:style w:type="character" w:customStyle="1" w:styleId="TabletextChar">
    <w:name w:val="Table text Char"/>
    <w:basedOn w:val="DefaultParagraphFont"/>
    <w:link w:val="Tabletext"/>
    <w:uiPriority w:val="9"/>
    <w:rsid w:val="00AC318C"/>
    <w:rPr>
      <w:sz w:val="22"/>
      <w:szCs w:val="22"/>
      <w:lang w:eastAsia="en-US"/>
    </w:rPr>
  </w:style>
  <w:style w:type="character" w:customStyle="1" w:styleId="CCATabletextChar">
    <w:name w:val="CCA Table text Char"/>
    <w:basedOn w:val="TabletextChar"/>
    <w:link w:val="CCATabletext"/>
    <w:rsid w:val="00AC318C"/>
    <w:rPr>
      <w:color w:val="000000" w:themeColor="text1"/>
      <w:sz w:val="18"/>
      <w:szCs w:val="18"/>
      <w:lang w:eastAsia="en-US"/>
    </w:rPr>
  </w:style>
  <w:style w:type="character" w:customStyle="1" w:styleId="CaptionChar">
    <w:name w:val="Caption Char"/>
    <w:basedOn w:val="DefaultParagraphFont"/>
    <w:link w:val="Caption"/>
    <w:uiPriority w:val="15"/>
    <w:rsid w:val="00AC318C"/>
    <w:rPr>
      <w:rFonts w:eastAsiaTheme="minorHAnsi" w:cstheme="minorBidi"/>
      <w:bCs/>
      <w:color w:val="414141"/>
      <w:sz w:val="22"/>
      <w:szCs w:val="18"/>
      <w:lang w:eastAsia="en-US"/>
    </w:rPr>
  </w:style>
  <w:style w:type="character" w:customStyle="1" w:styleId="CCALevel3Char">
    <w:name w:val="CCA Level 3 Char"/>
    <w:basedOn w:val="Heading2Char"/>
    <w:link w:val="CCALevel3"/>
    <w:rsid w:val="00AC318C"/>
    <w:rPr>
      <w:rFonts w:ascii="Arial Bold" w:hAnsi="Arial Bold"/>
      <w:b w:val="0"/>
      <w:caps/>
      <w:color w:val="159DCE"/>
      <w:sz w:val="22"/>
      <w:szCs w:val="22"/>
      <w:lang w:eastAsia="en-US"/>
    </w:rPr>
  </w:style>
  <w:style w:type="paragraph" w:customStyle="1" w:styleId="RecHeadText">
    <w:name w:val="Rec Head Text"/>
    <w:basedOn w:val="Caption"/>
    <w:link w:val="RecHeadTextChar"/>
    <w:qFormat/>
    <w:rsid w:val="00120927"/>
    <w:pPr>
      <w:ind w:left="397" w:hanging="397"/>
    </w:pPr>
    <w:rPr>
      <w:rFonts w:cs="Arial"/>
      <w:b/>
      <w:color w:val="159DCE"/>
      <w:sz w:val="18"/>
      <w:lang w:val="en-US"/>
    </w:rPr>
  </w:style>
  <w:style w:type="character" w:customStyle="1" w:styleId="RecHeadTextChar">
    <w:name w:val="Rec Head Text Char"/>
    <w:basedOn w:val="CaptionChar"/>
    <w:link w:val="RecHeadText"/>
    <w:rsid w:val="00120927"/>
    <w:rPr>
      <w:rFonts w:eastAsiaTheme="minorHAnsi" w:cs="Arial"/>
      <w:b/>
      <w:bCs/>
      <w:color w:val="159DCE"/>
      <w:sz w:val="18"/>
      <w:szCs w:val="18"/>
      <w:lang w:val="en-US" w:eastAsia="en-US"/>
    </w:rPr>
  </w:style>
  <w:style w:type="paragraph" w:customStyle="1" w:styleId="RecText">
    <w:name w:val="Rec Text"/>
    <w:basedOn w:val="ListParagraph"/>
    <w:qFormat/>
    <w:rsid w:val="003F3490"/>
    <w:pPr>
      <w:numPr>
        <w:numId w:val="21"/>
      </w:numPr>
      <w:tabs>
        <w:tab w:val="num" w:pos="360"/>
      </w:tabs>
      <w:spacing w:after="140" w:line="220" w:lineRule="exact"/>
      <w:ind w:left="720" w:firstLine="0"/>
    </w:pPr>
    <w:rPr>
      <w:rFonts w:eastAsiaTheme="minorHAnsi" w:cs="Arial"/>
      <w:color w:val="414141"/>
      <w:sz w:val="18"/>
      <w:szCs w:val="18"/>
      <w:lang w:val="en-US"/>
    </w:rPr>
  </w:style>
  <w:style w:type="numbering" w:customStyle="1" w:styleId="ListBulletmaster">
    <w:name w:val="List Bullet (master)"/>
    <w:rsid w:val="003F3490"/>
    <w:pPr>
      <w:numPr>
        <w:numId w:val="18"/>
      </w:numPr>
    </w:pPr>
  </w:style>
  <w:style w:type="numbering" w:customStyle="1" w:styleId="Style3">
    <w:name w:val="Style3"/>
    <w:uiPriority w:val="99"/>
    <w:rsid w:val="003F3490"/>
    <w:pPr>
      <w:numPr>
        <w:numId w:val="21"/>
      </w:numPr>
    </w:pPr>
  </w:style>
  <w:style w:type="character" w:styleId="CommentReference">
    <w:name w:val="annotation reference"/>
    <w:basedOn w:val="DefaultParagraphFont"/>
    <w:uiPriority w:val="99"/>
    <w:semiHidden/>
    <w:unhideWhenUsed/>
    <w:rsid w:val="003F3490"/>
    <w:rPr>
      <w:sz w:val="16"/>
      <w:szCs w:val="16"/>
    </w:rPr>
  </w:style>
  <w:style w:type="paragraph" w:styleId="CommentText">
    <w:name w:val="annotation text"/>
    <w:basedOn w:val="Normal"/>
    <w:link w:val="CommentTextChar"/>
    <w:uiPriority w:val="99"/>
    <w:unhideWhenUsed/>
    <w:rsid w:val="003F3490"/>
    <w:pPr>
      <w:spacing w:line="240" w:lineRule="auto"/>
    </w:pPr>
    <w:rPr>
      <w:sz w:val="20"/>
      <w:szCs w:val="20"/>
    </w:rPr>
  </w:style>
  <w:style w:type="character" w:customStyle="1" w:styleId="CommentTextChar">
    <w:name w:val="Comment Text Char"/>
    <w:basedOn w:val="DefaultParagraphFont"/>
    <w:link w:val="CommentText"/>
    <w:uiPriority w:val="99"/>
    <w:rsid w:val="003F3490"/>
    <w:rPr>
      <w:lang w:eastAsia="en-US"/>
    </w:rPr>
  </w:style>
  <w:style w:type="paragraph" w:styleId="CommentSubject">
    <w:name w:val="annotation subject"/>
    <w:basedOn w:val="CommentText"/>
    <w:next w:val="CommentText"/>
    <w:link w:val="CommentSubjectChar"/>
    <w:uiPriority w:val="99"/>
    <w:semiHidden/>
    <w:unhideWhenUsed/>
    <w:rsid w:val="003F3490"/>
    <w:rPr>
      <w:b/>
      <w:bCs/>
    </w:rPr>
  </w:style>
  <w:style w:type="character" w:customStyle="1" w:styleId="CommentSubjectChar">
    <w:name w:val="Comment Subject Char"/>
    <w:basedOn w:val="CommentTextChar"/>
    <w:link w:val="CommentSubject"/>
    <w:uiPriority w:val="99"/>
    <w:semiHidden/>
    <w:rsid w:val="003F3490"/>
    <w:rPr>
      <w:b/>
      <w:bCs/>
      <w:lang w:eastAsia="en-US"/>
    </w:rPr>
  </w:style>
  <w:style w:type="paragraph" w:customStyle="1" w:styleId="TableHeader">
    <w:name w:val="Table Header"/>
    <w:basedOn w:val="Normal"/>
    <w:qFormat/>
    <w:rsid w:val="005C77F4"/>
    <w:pPr>
      <w:spacing w:after="140" w:line="220" w:lineRule="exact"/>
    </w:pPr>
    <w:rPr>
      <w:rFonts w:eastAsiaTheme="minorHAnsi" w:cs="Arial"/>
      <w:b/>
      <w:caps/>
      <w:color w:val="FFFFFF" w:themeColor="background1"/>
      <w:sz w:val="16"/>
      <w:szCs w:val="16"/>
      <w:lang w:val="en-US" w:eastAsia="en-GB"/>
    </w:rPr>
  </w:style>
  <w:style w:type="character" w:customStyle="1" w:styleId="apple-converted-space">
    <w:name w:val="apple-converted-space"/>
    <w:basedOn w:val="DefaultParagraphFont"/>
    <w:rsid w:val="005C77F4"/>
  </w:style>
  <w:style w:type="character" w:customStyle="1" w:styleId="CCALevel2Char">
    <w:name w:val="CCA Level 2 Char"/>
    <w:basedOn w:val="DefaultParagraphFont"/>
    <w:link w:val="CCALevel2"/>
    <w:locked/>
    <w:rsid w:val="00B160FF"/>
    <w:rPr>
      <w:sz w:val="22"/>
      <w:szCs w:val="22"/>
      <w:lang w:eastAsia="en-US"/>
    </w:rPr>
  </w:style>
  <w:style w:type="paragraph" w:customStyle="1" w:styleId="Default">
    <w:name w:val="Default"/>
    <w:rsid w:val="00BB5008"/>
    <w:pPr>
      <w:autoSpaceDE w:val="0"/>
      <w:autoSpaceDN w:val="0"/>
      <w:adjustRightInd w:val="0"/>
    </w:pPr>
    <w:rPr>
      <w:rFonts w:ascii="Tahoma" w:hAnsi="Tahoma" w:cs="Tahoma"/>
      <w:color w:val="000000"/>
      <w:sz w:val="24"/>
      <w:szCs w:val="24"/>
    </w:rPr>
  </w:style>
  <w:style w:type="paragraph" w:styleId="BodyText">
    <w:name w:val="Body Text"/>
    <w:basedOn w:val="Normal"/>
    <w:link w:val="BodyTextChar"/>
    <w:uiPriority w:val="1"/>
    <w:semiHidden/>
    <w:unhideWhenUsed/>
    <w:rsid w:val="00A235E3"/>
    <w:pPr>
      <w:spacing w:after="140" w:line="320" w:lineRule="exact"/>
    </w:pPr>
    <w:rPr>
      <w:rFonts w:eastAsiaTheme="minorHAnsi" w:cstheme="minorBidi"/>
      <w:color w:val="414141"/>
    </w:rPr>
  </w:style>
  <w:style w:type="character" w:customStyle="1" w:styleId="BodyTextChar">
    <w:name w:val="Body Text Char"/>
    <w:basedOn w:val="DefaultParagraphFont"/>
    <w:link w:val="BodyText"/>
    <w:uiPriority w:val="1"/>
    <w:semiHidden/>
    <w:rsid w:val="00A235E3"/>
    <w:rPr>
      <w:rFonts w:eastAsiaTheme="minorHAnsi" w:cstheme="minorBidi"/>
      <w:color w:val="414141"/>
      <w:sz w:val="22"/>
      <w:szCs w:val="22"/>
      <w:lang w:eastAsia="en-US"/>
    </w:rPr>
  </w:style>
  <w:style w:type="table" w:styleId="GridTable1Light">
    <w:name w:val="Grid Table 1 Light"/>
    <w:basedOn w:val="TableNormal"/>
    <w:uiPriority w:val="46"/>
    <w:rsid w:val="00C0246A"/>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1nonumber">
    <w:name w:val="Heading 1 (no number)"/>
    <w:basedOn w:val="Normal"/>
    <w:link w:val="Heading1nonumberChar"/>
    <w:qFormat/>
    <w:rsid w:val="00D25BE9"/>
    <w:pPr>
      <w:pageBreakBefore/>
      <w:outlineLvl w:val="0"/>
    </w:pPr>
    <w:rPr>
      <w:rFonts w:ascii="Arial Bold" w:hAnsi="Arial Bold"/>
      <w:b/>
      <w:caps/>
      <w:color w:val="159DCE"/>
      <w:sz w:val="34"/>
      <w:szCs w:val="34"/>
    </w:rPr>
  </w:style>
  <w:style w:type="paragraph" w:styleId="NoSpacing">
    <w:name w:val="No Spacing"/>
    <w:link w:val="NoSpacingChar"/>
    <w:uiPriority w:val="1"/>
    <w:qFormat/>
    <w:rsid w:val="000C7CD5"/>
    <w:rPr>
      <w:rFonts w:asciiTheme="minorHAnsi" w:eastAsiaTheme="minorEastAsia" w:hAnsiTheme="minorHAnsi" w:cstheme="minorBidi"/>
      <w:sz w:val="22"/>
      <w:szCs w:val="22"/>
      <w:lang w:val="en-US" w:eastAsia="en-US"/>
    </w:rPr>
  </w:style>
  <w:style w:type="character" w:customStyle="1" w:styleId="Heading1nonumberChar">
    <w:name w:val="Heading 1 (no number) Char"/>
    <w:basedOn w:val="DefaultParagraphFont"/>
    <w:link w:val="Heading1nonumber"/>
    <w:rsid w:val="00D25BE9"/>
    <w:rPr>
      <w:rFonts w:ascii="Arial Bold" w:hAnsi="Arial Bold"/>
      <w:b/>
      <w:caps/>
      <w:color w:val="159DCE"/>
      <w:sz w:val="34"/>
      <w:szCs w:val="34"/>
      <w:lang w:eastAsia="en-US"/>
    </w:rPr>
  </w:style>
  <w:style w:type="character" w:customStyle="1" w:styleId="NoSpacingChar">
    <w:name w:val="No Spacing Char"/>
    <w:basedOn w:val="DefaultParagraphFont"/>
    <w:link w:val="NoSpacing"/>
    <w:uiPriority w:val="1"/>
    <w:rsid w:val="000C7CD5"/>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rsid w:val="00F9092F"/>
    <w:pPr>
      <w:tabs>
        <w:tab w:val="left" w:pos="1540"/>
        <w:tab w:val="right" w:leader="dot" w:pos="9202"/>
      </w:tabs>
      <w:spacing w:before="80" w:after="0"/>
    </w:pPr>
    <w:rPr>
      <w:rFonts w:ascii="Arial Bold" w:hAnsi="Arial Bold"/>
      <w:b/>
      <w:bCs/>
      <w:caps/>
      <w:color w:val="159DCE"/>
      <w:szCs w:val="24"/>
    </w:rPr>
  </w:style>
  <w:style w:type="paragraph" w:styleId="TOC2">
    <w:name w:val="toc 2"/>
    <w:basedOn w:val="Normal"/>
    <w:next w:val="Normal"/>
    <w:autoRedefine/>
    <w:uiPriority w:val="39"/>
    <w:unhideWhenUsed/>
    <w:rsid w:val="00450262"/>
    <w:pPr>
      <w:tabs>
        <w:tab w:val="left" w:pos="660"/>
        <w:tab w:val="right" w:leader="dot" w:pos="9202"/>
      </w:tabs>
      <w:spacing w:before="80" w:after="0"/>
    </w:pPr>
    <w:rPr>
      <w:bCs/>
      <w:sz w:val="20"/>
      <w:szCs w:val="20"/>
    </w:rPr>
  </w:style>
  <w:style w:type="paragraph" w:styleId="TOC3">
    <w:name w:val="toc 3"/>
    <w:basedOn w:val="Normal"/>
    <w:next w:val="Normal"/>
    <w:autoRedefine/>
    <w:uiPriority w:val="39"/>
    <w:unhideWhenUsed/>
    <w:rsid w:val="00AD7B14"/>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AD7B14"/>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AD7B14"/>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AD7B14"/>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AD7B14"/>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AD7B14"/>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AD7B14"/>
    <w:pPr>
      <w:spacing w:after="0"/>
      <w:ind w:left="1540"/>
    </w:pPr>
    <w:rPr>
      <w:rFonts w:asciiTheme="minorHAnsi" w:hAnsiTheme="minorHAnsi"/>
      <w:sz w:val="20"/>
      <w:szCs w:val="20"/>
    </w:rPr>
  </w:style>
  <w:style w:type="character" w:styleId="Hyperlink">
    <w:name w:val="Hyperlink"/>
    <w:basedOn w:val="DefaultParagraphFont"/>
    <w:uiPriority w:val="99"/>
    <w:unhideWhenUsed/>
    <w:rsid w:val="00AD7B14"/>
    <w:rPr>
      <w:color w:val="0000FF" w:themeColor="hyperlink"/>
      <w:u w:val="single"/>
    </w:rPr>
  </w:style>
  <w:style w:type="paragraph" w:styleId="TableofFigures">
    <w:name w:val="table of figures"/>
    <w:basedOn w:val="Normal"/>
    <w:next w:val="Normal"/>
    <w:uiPriority w:val="99"/>
    <w:unhideWhenUsed/>
    <w:rsid w:val="00133102"/>
    <w:pPr>
      <w:spacing w:after="0" w:line="320" w:lineRule="exact"/>
    </w:pPr>
    <w:rPr>
      <w:sz w:val="21"/>
    </w:rPr>
  </w:style>
  <w:style w:type="table" w:styleId="ListTable1Light-Accent1">
    <w:name w:val="List Table 1 Light Accent 1"/>
    <w:basedOn w:val="TableNormal"/>
    <w:uiPriority w:val="46"/>
    <w:rsid w:val="00633F4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unhideWhenUsed/>
    <w:rsid w:val="008D1F43"/>
    <w:pPr>
      <w:spacing w:after="0" w:line="240" w:lineRule="auto"/>
    </w:pPr>
    <w:rPr>
      <w:sz w:val="20"/>
      <w:szCs w:val="20"/>
    </w:rPr>
  </w:style>
  <w:style w:type="character" w:customStyle="1" w:styleId="FootnoteTextChar">
    <w:name w:val="Footnote Text Char"/>
    <w:basedOn w:val="DefaultParagraphFont"/>
    <w:link w:val="FootnoteText"/>
    <w:uiPriority w:val="99"/>
    <w:rsid w:val="008D1F43"/>
    <w:rPr>
      <w:lang w:eastAsia="en-US"/>
    </w:rPr>
  </w:style>
  <w:style w:type="character" w:styleId="FootnoteReference">
    <w:name w:val="footnote reference"/>
    <w:aliases w:val="(NECG) Footnote Reference"/>
    <w:basedOn w:val="DefaultParagraphFont"/>
    <w:uiPriority w:val="99"/>
    <w:unhideWhenUsed/>
    <w:rsid w:val="008D1F43"/>
    <w:rPr>
      <w:vertAlign w:val="superscript"/>
    </w:rPr>
  </w:style>
  <w:style w:type="paragraph" w:customStyle="1" w:styleId="Normal170921">
    <w:name w:val="Normal 170921"/>
    <w:basedOn w:val="Normal"/>
    <w:link w:val="Normal170921Char"/>
    <w:qFormat/>
    <w:rsid w:val="004022FE"/>
    <w:pPr>
      <w:spacing w:after="140" w:line="320" w:lineRule="exact"/>
    </w:pPr>
    <w:rPr>
      <w:sz w:val="21"/>
    </w:rPr>
  </w:style>
  <w:style w:type="character" w:customStyle="1" w:styleId="Normal170921Char">
    <w:name w:val="Normal 170921 Char"/>
    <w:basedOn w:val="DefaultParagraphFont"/>
    <w:link w:val="Normal170921"/>
    <w:rsid w:val="004022FE"/>
    <w:rPr>
      <w:sz w:val="21"/>
      <w:szCs w:val="22"/>
      <w:lang w:eastAsia="en-US"/>
    </w:rPr>
  </w:style>
  <w:style w:type="table" w:customStyle="1" w:styleId="ListTable3-Accent21">
    <w:name w:val="List Table 3 - Accent 21"/>
    <w:basedOn w:val="TableNormal"/>
    <w:uiPriority w:val="48"/>
    <w:rsid w:val="00B141A3"/>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ccabodycopy">
    <w:name w:val="cca_bodycopy"/>
    <w:basedOn w:val="Normal"/>
    <w:rsid w:val="003D2677"/>
    <w:pPr>
      <w:spacing w:before="100" w:beforeAutospacing="1" w:after="100" w:afterAutospacing="1" w:line="240" w:lineRule="auto"/>
    </w:pPr>
    <w:rPr>
      <w:rFonts w:ascii="Times New Roman" w:eastAsiaTheme="minorEastAsia" w:hAnsi="Times New Roman"/>
      <w:sz w:val="24"/>
      <w:szCs w:val="24"/>
      <w:lang w:val="en-US"/>
    </w:rPr>
  </w:style>
  <w:style w:type="paragraph" w:customStyle="1" w:styleId="ccatabletext0">
    <w:name w:val="cca_tabletext"/>
    <w:basedOn w:val="Normal"/>
    <w:rsid w:val="003D2677"/>
    <w:pPr>
      <w:spacing w:before="100" w:beforeAutospacing="1" w:after="100" w:afterAutospacing="1" w:line="240" w:lineRule="auto"/>
    </w:pPr>
    <w:rPr>
      <w:rFonts w:ascii="Times New Roman" w:eastAsiaTheme="minorEastAsia" w:hAnsi="Times New Roman"/>
      <w:sz w:val="24"/>
      <w:szCs w:val="24"/>
      <w:lang w:val="en-US"/>
    </w:rPr>
  </w:style>
  <w:style w:type="character" w:styleId="Emphasis">
    <w:name w:val="Emphasis"/>
    <w:basedOn w:val="DefaultParagraphFont"/>
    <w:uiPriority w:val="20"/>
    <w:qFormat/>
    <w:rsid w:val="003D2677"/>
    <w:rPr>
      <w:i/>
      <w:iCs/>
    </w:rPr>
  </w:style>
  <w:style w:type="paragraph" w:styleId="Revision">
    <w:name w:val="Revision"/>
    <w:hidden/>
    <w:uiPriority w:val="99"/>
    <w:semiHidden/>
    <w:rsid w:val="0001385B"/>
    <w:rPr>
      <w:sz w:val="22"/>
      <w:szCs w:val="22"/>
      <w:lang w:eastAsia="en-US"/>
    </w:rPr>
  </w:style>
  <w:style w:type="paragraph" w:styleId="NormalWeb">
    <w:name w:val="Normal (Web)"/>
    <w:basedOn w:val="Normal"/>
    <w:uiPriority w:val="99"/>
    <w:semiHidden/>
    <w:unhideWhenUsed/>
    <w:rsid w:val="00B01A37"/>
    <w:pPr>
      <w:spacing w:before="100" w:beforeAutospacing="1" w:after="100" w:afterAutospacing="1" w:line="240" w:lineRule="auto"/>
    </w:pPr>
    <w:rPr>
      <w:rFonts w:ascii="Times New Roman" w:eastAsiaTheme="minorEastAsia" w:hAnsi="Times New Roman"/>
      <w:sz w:val="24"/>
      <w:szCs w:val="24"/>
      <w:lang w:eastAsia="en-AU"/>
    </w:rPr>
  </w:style>
  <w:style w:type="character" w:styleId="Strong">
    <w:name w:val="Strong"/>
    <w:basedOn w:val="DefaultParagraphFont"/>
    <w:uiPriority w:val="22"/>
    <w:qFormat/>
    <w:rsid w:val="007E67E8"/>
    <w:rPr>
      <w:b/>
      <w:bCs/>
    </w:rPr>
  </w:style>
  <w:style w:type="table" w:styleId="PlainTable1">
    <w:name w:val="Plain Table 1"/>
    <w:basedOn w:val="TableNormal"/>
    <w:uiPriority w:val="41"/>
    <w:rsid w:val="002931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nonumber">
    <w:name w:val="Heading 2 (no number)"/>
    <w:basedOn w:val="Heading2"/>
    <w:link w:val="Heading2nonumberChar"/>
    <w:qFormat/>
    <w:rsid w:val="0087424C"/>
    <w:pPr>
      <w:numPr>
        <w:ilvl w:val="0"/>
        <w:numId w:val="0"/>
      </w:numPr>
    </w:pPr>
  </w:style>
  <w:style w:type="character" w:customStyle="1" w:styleId="Heading2nonumberChar">
    <w:name w:val="Heading 2 (no number) Char"/>
    <w:basedOn w:val="Heading2Char"/>
    <w:link w:val="Heading2nonumber"/>
    <w:rsid w:val="0087424C"/>
    <w:rPr>
      <w:b/>
      <w:caps/>
      <w:color w:val="159DCE"/>
      <w:sz w:val="22"/>
      <w:szCs w:val="22"/>
      <w:lang w:eastAsia="en-US"/>
    </w:rPr>
  </w:style>
  <w:style w:type="character" w:customStyle="1" w:styleId="st1">
    <w:name w:val="st1"/>
    <w:basedOn w:val="DefaultParagraphFont"/>
    <w:rsid w:val="00E77E89"/>
  </w:style>
  <w:style w:type="character" w:styleId="FollowedHyperlink">
    <w:name w:val="FollowedHyperlink"/>
    <w:basedOn w:val="DefaultParagraphFont"/>
    <w:uiPriority w:val="99"/>
    <w:semiHidden/>
    <w:unhideWhenUsed/>
    <w:rsid w:val="00AC78A1"/>
    <w:rPr>
      <w:color w:val="800080" w:themeColor="followedHyperlink"/>
      <w:u w:val="single"/>
    </w:rPr>
  </w:style>
  <w:style w:type="paragraph" w:customStyle="1" w:styleId="In-text">
    <w:name w:val="In-text"/>
    <w:basedOn w:val="Normal"/>
    <w:link w:val="In-textChar"/>
    <w:qFormat/>
    <w:rsid w:val="00393AAA"/>
    <w:rPr>
      <w:color w:val="000000" w:themeColor="text1"/>
    </w:rPr>
  </w:style>
  <w:style w:type="character" w:customStyle="1" w:styleId="In-textChar">
    <w:name w:val="In-text Char"/>
    <w:basedOn w:val="DefaultParagraphFont"/>
    <w:link w:val="In-text"/>
    <w:rsid w:val="00393AAA"/>
    <w:rPr>
      <w:color w:val="000000" w:themeColor="text1"/>
      <w:sz w:val="22"/>
      <w:szCs w:val="22"/>
      <w:lang w:eastAsia="en-US"/>
    </w:rPr>
  </w:style>
  <w:style w:type="paragraph" w:customStyle="1" w:styleId="SectionChapter">
    <w:name w:val="Section Chapter"/>
    <w:basedOn w:val="Normal"/>
    <w:link w:val="SectionChapterChar"/>
    <w:qFormat/>
    <w:rsid w:val="008E5983"/>
    <w:rPr>
      <w:color w:val="000000" w:themeColor="text1"/>
    </w:rPr>
  </w:style>
  <w:style w:type="character" w:customStyle="1" w:styleId="SectionChapterChar">
    <w:name w:val="Section Chapter Char"/>
    <w:basedOn w:val="DefaultParagraphFont"/>
    <w:link w:val="SectionChapter"/>
    <w:rsid w:val="008E5983"/>
    <w:rPr>
      <w:color w:val="000000" w:themeColor="text1"/>
      <w:sz w:val="22"/>
      <w:szCs w:val="22"/>
      <w:lang w:eastAsia="en-US"/>
    </w:rPr>
  </w:style>
  <w:style w:type="paragraph" w:customStyle="1" w:styleId="CCAtable">
    <w:name w:val="CCA table"/>
    <w:basedOn w:val="Normal"/>
    <w:link w:val="CCAtableChar"/>
    <w:qFormat/>
    <w:rsid w:val="0026211E"/>
    <w:pPr>
      <w:spacing w:after="0" w:line="240" w:lineRule="auto"/>
      <w:jc w:val="both"/>
    </w:pPr>
    <w:rPr>
      <w:rFonts w:eastAsiaTheme="minorEastAsia" w:cs="Arial"/>
      <w:b/>
      <w:bCs/>
      <w:color w:val="FFFFFF" w:themeColor="background1"/>
      <w:sz w:val="20"/>
    </w:rPr>
  </w:style>
  <w:style w:type="character" w:customStyle="1" w:styleId="CCAtableChar">
    <w:name w:val="CCA table Char"/>
    <w:basedOn w:val="DefaultParagraphFont"/>
    <w:link w:val="CCAtable"/>
    <w:rsid w:val="0026211E"/>
    <w:rPr>
      <w:rFonts w:eastAsiaTheme="minorEastAsia" w:cs="Arial"/>
      <w:b/>
      <w:bCs/>
      <w:color w:val="FFFFFF" w:themeColor="background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478">
      <w:bodyDiv w:val="1"/>
      <w:marLeft w:val="0"/>
      <w:marRight w:val="0"/>
      <w:marTop w:val="0"/>
      <w:marBottom w:val="0"/>
      <w:divBdr>
        <w:top w:val="none" w:sz="0" w:space="0" w:color="auto"/>
        <w:left w:val="none" w:sz="0" w:space="0" w:color="auto"/>
        <w:bottom w:val="none" w:sz="0" w:space="0" w:color="auto"/>
        <w:right w:val="none" w:sz="0" w:space="0" w:color="auto"/>
      </w:divBdr>
    </w:div>
    <w:div w:id="11803015">
      <w:bodyDiv w:val="1"/>
      <w:marLeft w:val="0"/>
      <w:marRight w:val="0"/>
      <w:marTop w:val="0"/>
      <w:marBottom w:val="0"/>
      <w:divBdr>
        <w:top w:val="none" w:sz="0" w:space="0" w:color="auto"/>
        <w:left w:val="none" w:sz="0" w:space="0" w:color="auto"/>
        <w:bottom w:val="none" w:sz="0" w:space="0" w:color="auto"/>
        <w:right w:val="none" w:sz="0" w:space="0" w:color="auto"/>
      </w:divBdr>
    </w:div>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026306">
      <w:bodyDiv w:val="1"/>
      <w:marLeft w:val="0"/>
      <w:marRight w:val="0"/>
      <w:marTop w:val="0"/>
      <w:marBottom w:val="0"/>
      <w:divBdr>
        <w:top w:val="none" w:sz="0" w:space="0" w:color="auto"/>
        <w:left w:val="none" w:sz="0" w:space="0" w:color="auto"/>
        <w:bottom w:val="none" w:sz="0" w:space="0" w:color="auto"/>
        <w:right w:val="none" w:sz="0" w:space="0" w:color="auto"/>
      </w:divBdr>
    </w:div>
    <w:div w:id="57284071">
      <w:bodyDiv w:val="1"/>
      <w:marLeft w:val="0"/>
      <w:marRight w:val="0"/>
      <w:marTop w:val="0"/>
      <w:marBottom w:val="0"/>
      <w:divBdr>
        <w:top w:val="none" w:sz="0" w:space="0" w:color="auto"/>
        <w:left w:val="none" w:sz="0" w:space="0" w:color="auto"/>
        <w:bottom w:val="none" w:sz="0" w:space="0" w:color="auto"/>
        <w:right w:val="none" w:sz="0" w:space="0" w:color="auto"/>
      </w:divBdr>
    </w:div>
    <w:div w:id="59250551">
      <w:bodyDiv w:val="1"/>
      <w:marLeft w:val="0"/>
      <w:marRight w:val="0"/>
      <w:marTop w:val="0"/>
      <w:marBottom w:val="0"/>
      <w:divBdr>
        <w:top w:val="none" w:sz="0" w:space="0" w:color="auto"/>
        <w:left w:val="none" w:sz="0" w:space="0" w:color="auto"/>
        <w:bottom w:val="none" w:sz="0" w:space="0" w:color="auto"/>
        <w:right w:val="none" w:sz="0" w:space="0" w:color="auto"/>
      </w:divBdr>
    </w:div>
    <w:div w:id="69348401">
      <w:bodyDiv w:val="1"/>
      <w:marLeft w:val="0"/>
      <w:marRight w:val="0"/>
      <w:marTop w:val="0"/>
      <w:marBottom w:val="0"/>
      <w:divBdr>
        <w:top w:val="none" w:sz="0" w:space="0" w:color="auto"/>
        <w:left w:val="none" w:sz="0" w:space="0" w:color="auto"/>
        <w:bottom w:val="none" w:sz="0" w:space="0" w:color="auto"/>
        <w:right w:val="none" w:sz="0" w:space="0" w:color="auto"/>
      </w:divBdr>
    </w:div>
    <w:div w:id="84037480">
      <w:bodyDiv w:val="1"/>
      <w:marLeft w:val="0"/>
      <w:marRight w:val="0"/>
      <w:marTop w:val="0"/>
      <w:marBottom w:val="0"/>
      <w:divBdr>
        <w:top w:val="none" w:sz="0" w:space="0" w:color="auto"/>
        <w:left w:val="none" w:sz="0" w:space="0" w:color="auto"/>
        <w:bottom w:val="none" w:sz="0" w:space="0" w:color="auto"/>
        <w:right w:val="none" w:sz="0" w:space="0" w:color="auto"/>
      </w:divBdr>
    </w:div>
    <w:div w:id="87584815">
      <w:bodyDiv w:val="1"/>
      <w:marLeft w:val="0"/>
      <w:marRight w:val="0"/>
      <w:marTop w:val="0"/>
      <w:marBottom w:val="0"/>
      <w:divBdr>
        <w:top w:val="none" w:sz="0" w:space="0" w:color="auto"/>
        <w:left w:val="none" w:sz="0" w:space="0" w:color="auto"/>
        <w:bottom w:val="none" w:sz="0" w:space="0" w:color="auto"/>
        <w:right w:val="none" w:sz="0" w:space="0" w:color="auto"/>
      </w:divBdr>
    </w:div>
    <w:div w:id="89588632">
      <w:bodyDiv w:val="1"/>
      <w:marLeft w:val="0"/>
      <w:marRight w:val="0"/>
      <w:marTop w:val="0"/>
      <w:marBottom w:val="0"/>
      <w:divBdr>
        <w:top w:val="none" w:sz="0" w:space="0" w:color="auto"/>
        <w:left w:val="none" w:sz="0" w:space="0" w:color="auto"/>
        <w:bottom w:val="none" w:sz="0" w:space="0" w:color="auto"/>
        <w:right w:val="none" w:sz="0" w:space="0" w:color="auto"/>
      </w:divBdr>
    </w:div>
    <w:div w:id="94450534">
      <w:bodyDiv w:val="1"/>
      <w:marLeft w:val="0"/>
      <w:marRight w:val="0"/>
      <w:marTop w:val="0"/>
      <w:marBottom w:val="0"/>
      <w:divBdr>
        <w:top w:val="none" w:sz="0" w:space="0" w:color="auto"/>
        <w:left w:val="none" w:sz="0" w:space="0" w:color="auto"/>
        <w:bottom w:val="none" w:sz="0" w:space="0" w:color="auto"/>
        <w:right w:val="none" w:sz="0" w:space="0" w:color="auto"/>
      </w:divBdr>
    </w:div>
    <w:div w:id="115491867">
      <w:bodyDiv w:val="1"/>
      <w:marLeft w:val="0"/>
      <w:marRight w:val="0"/>
      <w:marTop w:val="0"/>
      <w:marBottom w:val="0"/>
      <w:divBdr>
        <w:top w:val="none" w:sz="0" w:space="0" w:color="auto"/>
        <w:left w:val="none" w:sz="0" w:space="0" w:color="auto"/>
        <w:bottom w:val="none" w:sz="0" w:space="0" w:color="auto"/>
        <w:right w:val="none" w:sz="0" w:space="0" w:color="auto"/>
      </w:divBdr>
    </w:div>
    <w:div w:id="117728629">
      <w:bodyDiv w:val="1"/>
      <w:marLeft w:val="0"/>
      <w:marRight w:val="0"/>
      <w:marTop w:val="0"/>
      <w:marBottom w:val="0"/>
      <w:divBdr>
        <w:top w:val="none" w:sz="0" w:space="0" w:color="auto"/>
        <w:left w:val="none" w:sz="0" w:space="0" w:color="auto"/>
        <w:bottom w:val="none" w:sz="0" w:space="0" w:color="auto"/>
        <w:right w:val="none" w:sz="0" w:space="0" w:color="auto"/>
      </w:divBdr>
    </w:div>
    <w:div w:id="141119423">
      <w:bodyDiv w:val="1"/>
      <w:marLeft w:val="0"/>
      <w:marRight w:val="0"/>
      <w:marTop w:val="0"/>
      <w:marBottom w:val="0"/>
      <w:divBdr>
        <w:top w:val="none" w:sz="0" w:space="0" w:color="auto"/>
        <w:left w:val="none" w:sz="0" w:space="0" w:color="auto"/>
        <w:bottom w:val="none" w:sz="0" w:space="0" w:color="auto"/>
        <w:right w:val="none" w:sz="0" w:space="0" w:color="auto"/>
      </w:divBdr>
    </w:div>
    <w:div w:id="154146807">
      <w:bodyDiv w:val="1"/>
      <w:marLeft w:val="0"/>
      <w:marRight w:val="0"/>
      <w:marTop w:val="0"/>
      <w:marBottom w:val="0"/>
      <w:divBdr>
        <w:top w:val="none" w:sz="0" w:space="0" w:color="auto"/>
        <w:left w:val="none" w:sz="0" w:space="0" w:color="auto"/>
        <w:bottom w:val="none" w:sz="0" w:space="0" w:color="auto"/>
        <w:right w:val="none" w:sz="0" w:space="0" w:color="auto"/>
      </w:divBdr>
    </w:div>
    <w:div w:id="160002831">
      <w:bodyDiv w:val="1"/>
      <w:marLeft w:val="0"/>
      <w:marRight w:val="0"/>
      <w:marTop w:val="0"/>
      <w:marBottom w:val="0"/>
      <w:divBdr>
        <w:top w:val="none" w:sz="0" w:space="0" w:color="auto"/>
        <w:left w:val="none" w:sz="0" w:space="0" w:color="auto"/>
        <w:bottom w:val="none" w:sz="0" w:space="0" w:color="auto"/>
        <w:right w:val="none" w:sz="0" w:space="0" w:color="auto"/>
      </w:divBdr>
    </w:div>
    <w:div w:id="160391141">
      <w:bodyDiv w:val="1"/>
      <w:marLeft w:val="0"/>
      <w:marRight w:val="0"/>
      <w:marTop w:val="0"/>
      <w:marBottom w:val="0"/>
      <w:divBdr>
        <w:top w:val="none" w:sz="0" w:space="0" w:color="auto"/>
        <w:left w:val="none" w:sz="0" w:space="0" w:color="auto"/>
        <w:bottom w:val="none" w:sz="0" w:space="0" w:color="auto"/>
        <w:right w:val="none" w:sz="0" w:space="0" w:color="auto"/>
      </w:divBdr>
    </w:div>
    <w:div w:id="183708698">
      <w:bodyDiv w:val="1"/>
      <w:marLeft w:val="0"/>
      <w:marRight w:val="0"/>
      <w:marTop w:val="0"/>
      <w:marBottom w:val="0"/>
      <w:divBdr>
        <w:top w:val="none" w:sz="0" w:space="0" w:color="auto"/>
        <w:left w:val="none" w:sz="0" w:space="0" w:color="auto"/>
        <w:bottom w:val="none" w:sz="0" w:space="0" w:color="auto"/>
        <w:right w:val="none" w:sz="0" w:space="0" w:color="auto"/>
      </w:divBdr>
    </w:div>
    <w:div w:id="197664337">
      <w:bodyDiv w:val="1"/>
      <w:marLeft w:val="0"/>
      <w:marRight w:val="0"/>
      <w:marTop w:val="0"/>
      <w:marBottom w:val="0"/>
      <w:divBdr>
        <w:top w:val="none" w:sz="0" w:space="0" w:color="auto"/>
        <w:left w:val="none" w:sz="0" w:space="0" w:color="auto"/>
        <w:bottom w:val="none" w:sz="0" w:space="0" w:color="auto"/>
        <w:right w:val="none" w:sz="0" w:space="0" w:color="auto"/>
      </w:divBdr>
    </w:div>
    <w:div w:id="203175016">
      <w:bodyDiv w:val="1"/>
      <w:marLeft w:val="0"/>
      <w:marRight w:val="0"/>
      <w:marTop w:val="0"/>
      <w:marBottom w:val="0"/>
      <w:divBdr>
        <w:top w:val="none" w:sz="0" w:space="0" w:color="auto"/>
        <w:left w:val="none" w:sz="0" w:space="0" w:color="auto"/>
        <w:bottom w:val="none" w:sz="0" w:space="0" w:color="auto"/>
        <w:right w:val="none" w:sz="0" w:space="0" w:color="auto"/>
      </w:divBdr>
    </w:div>
    <w:div w:id="209727989">
      <w:bodyDiv w:val="1"/>
      <w:marLeft w:val="0"/>
      <w:marRight w:val="0"/>
      <w:marTop w:val="0"/>
      <w:marBottom w:val="0"/>
      <w:divBdr>
        <w:top w:val="none" w:sz="0" w:space="0" w:color="auto"/>
        <w:left w:val="none" w:sz="0" w:space="0" w:color="auto"/>
        <w:bottom w:val="none" w:sz="0" w:space="0" w:color="auto"/>
        <w:right w:val="none" w:sz="0" w:space="0" w:color="auto"/>
      </w:divBdr>
    </w:div>
    <w:div w:id="222182925">
      <w:bodyDiv w:val="1"/>
      <w:marLeft w:val="0"/>
      <w:marRight w:val="0"/>
      <w:marTop w:val="0"/>
      <w:marBottom w:val="0"/>
      <w:divBdr>
        <w:top w:val="none" w:sz="0" w:space="0" w:color="auto"/>
        <w:left w:val="none" w:sz="0" w:space="0" w:color="auto"/>
        <w:bottom w:val="none" w:sz="0" w:space="0" w:color="auto"/>
        <w:right w:val="none" w:sz="0" w:space="0" w:color="auto"/>
      </w:divBdr>
    </w:div>
    <w:div w:id="234095170">
      <w:bodyDiv w:val="1"/>
      <w:marLeft w:val="0"/>
      <w:marRight w:val="0"/>
      <w:marTop w:val="0"/>
      <w:marBottom w:val="0"/>
      <w:divBdr>
        <w:top w:val="none" w:sz="0" w:space="0" w:color="auto"/>
        <w:left w:val="none" w:sz="0" w:space="0" w:color="auto"/>
        <w:bottom w:val="none" w:sz="0" w:space="0" w:color="auto"/>
        <w:right w:val="none" w:sz="0" w:space="0" w:color="auto"/>
      </w:divBdr>
    </w:div>
    <w:div w:id="283656488">
      <w:bodyDiv w:val="1"/>
      <w:marLeft w:val="0"/>
      <w:marRight w:val="0"/>
      <w:marTop w:val="0"/>
      <w:marBottom w:val="0"/>
      <w:divBdr>
        <w:top w:val="none" w:sz="0" w:space="0" w:color="auto"/>
        <w:left w:val="none" w:sz="0" w:space="0" w:color="auto"/>
        <w:bottom w:val="none" w:sz="0" w:space="0" w:color="auto"/>
        <w:right w:val="none" w:sz="0" w:space="0" w:color="auto"/>
      </w:divBdr>
    </w:div>
    <w:div w:id="313946366">
      <w:bodyDiv w:val="1"/>
      <w:marLeft w:val="0"/>
      <w:marRight w:val="0"/>
      <w:marTop w:val="0"/>
      <w:marBottom w:val="0"/>
      <w:divBdr>
        <w:top w:val="none" w:sz="0" w:space="0" w:color="auto"/>
        <w:left w:val="none" w:sz="0" w:space="0" w:color="auto"/>
        <w:bottom w:val="none" w:sz="0" w:space="0" w:color="auto"/>
        <w:right w:val="none" w:sz="0" w:space="0" w:color="auto"/>
      </w:divBdr>
    </w:div>
    <w:div w:id="339894391">
      <w:bodyDiv w:val="1"/>
      <w:marLeft w:val="0"/>
      <w:marRight w:val="0"/>
      <w:marTop w:val="0"/>
      <w:marBottom w:val="0"/>
      <w:divBdr>
        <w:top w:val="none" w:sz="0" w:space="0" w:color="auto"/>
        <w:left w:val="none" w:sz="0" w:space="0" w:color="auto"/>
        <w:bottom w:val="none" w:sz="0" w:space="0" w:color="auto"/>
        <w:right w:val="none" w:sz="0" w:space="0" w:color="auto"/>
      </w:divBdr>
    </w:div>
    <w:div w:id="345059020">
      <w:bodyDiv w:val="1"/>
      <w:marLeft w:val="0"/>
      <w:marRight w:val="0"/>
      <w:marTop w:val="0"/>
      <w:marBottom w:val="0"/>
      <w:divBdr>
        <w:top w:val="none" w:sz="0" w:space="0" w:color="auto"/>
        <w:left w:val="none" w:sz="0" w:space="0" w:color="auto"/>
        <w:bottom w:val="none" w:sz="0" w:space="0" w:color="auto"/>
        <w:right w:val="none" w:sz="0" w:space="0" w:color="auto"/>
      </w:divBdr>
    </w:div>
    <w:div w:id="382290383">
      <w:bodyDiv w:val="1"/>
      <w:marLeft w:val="0"/>
      <w:marRight w:val="0"/>
      <w:marTop w:val="0"/>
      <w:marBottom w:val="0"/>
      <w:divBdr>
        <w:top w:val="none" w:sz="0" w:space="0" w:color="auto"/>
        <w:left w:val="none" w:sz="0" w:space="0" w:color="auto"/>
        <w:bottom w:val="none" w:sz="0" w:space="0" w:color="auto"/>
        <w:right w:val="none" w:sz="0" w:space="0" w:color="auto"/>
      </w:divBdr>
    </w:div>
    <w:div w:id="382825903">
      <w:bodyDiv w:val="1"/>
      <w:marLeft w:val="0"/>
      <w:marRight w:val="0"/>
      <w:marTop w:val="0"/>
      <w:marBottom w:val="0"/>
      <w:divBdr>
        <w:top w:val="none" w:sz="0" w:space="0" w:color="auto"/>
        <w:left w:val="none" w:sz="0" w:space="0" w:color="auto"/>
        <w:bottom w:val="none" w:sz="0" w:space="0" w:color="auto"/>
        <w:right w:val="none" w:sz="0" w:space="0" w:color="auto"/>
      </w:divBdr>
    </w:div>
    <w:div w:id="398481757">
      <w:bodyDiv w:val="1"/>
      <w:marLeft w:val="0"/>
      <w:marRight w:val="0"/>
      <w:marTop w:val="0"/>
      <w:marBottom w:val="0"/>
      <w:divBdr>
        <w:top w:val="none" w:sz="0" w:space="0" w:color="auto"/>
        <w:left w:val="none" w:sz="0" w:space="0" w:color="auto"/>
        <w:bottom w:val="none" w:sz="0" w:space="0" w:color="auto"/>
        <w:right w:val="none" w:sz="0" w:space="0" w:color="auto"/>
      </w:divBdr>
    </w:div>
    <w:div w:id="399716614">
      <w:bodyDiv w:val="1"/>
      <w:marLeft w:val="0"/>
      <w:marRight w:val="0"/>
      <w:marTop w:val="0"/>
      <w:marBottom w:val="0"/>
      <w:divBdr>
        <w:top w:val="none" w:sz="0" w:space="0" w:color="auto"/>
        <w:left w:val="none" w:sz="0" w:space="0" w:color="auto"/>
        <w:bottom w:val="none" w:sz="0" w:space="0" w:color="auto"/>
        <w:right w:val="none" w:sz="0" w:space="0" w:color="auto"/>
      </w:divBdr>
    </w:div>
    <w:div w:id="403574830">
      <w:bodyDiv w:val="1"/>
      <w:marLeft w:val="0"/>
      <w:marRight w:val="0"/>
      <w:marTop w:val="0"/>
      <w:marBottom w:val="0"/>
      <w:divBdr>
        <w:top w:val="none" w:sz="0" w:space="0" w:color="auto"/>
        <w:left w:val="none" w:sz="0" w:space="0" w:color="auto"/>
        <w:bottom w:val="none" w:sz="0" w:space="0" w:color="auto"/>
        <w:right w:val="none" w:sz="0" w:space="0" w:color="auto"/>
      </w:divBdr>
    </w:div>
    <w:div w:id="435951922">
      <w:bodyDiv w:val="1"/>
      <w:marLeft w:val="0"/>
      <w:marRight w:val="0"/>
      <w:marTop w:val="0"/>
      <w:marBottom w:val="0"/>
      <w:divBdr>
        <w:top w:val="none" w:sz="0" w:space="0" w:color="auto"/>
        <w:left w:val="none" w:sz="0" w:space="0" w:color="auto"/>
        <w:bottom w:val="none" w:sz="0" w:space="0" w:color="auto"/>
        <w:right w:val="none" w:sz="0" w:space="0" w:color="auto"/>
      </w:divBdr>
    </w:div>
    <w:div w:id="450973854">
      <w:bodyDiv w:val="1"/>
      <w:marLeft w:val="0"/>
      <w:marRight w:val="0"/>
      <w:marTop w:val="0"/>
      <w:marBottom w:val="0"/>
      <w:divBdr>
        <w:top w:val="none" w:sz="0" w:space="0" w:color="auto"/>
        <w:left w:val="none" w:sz="0" w:space="0" w:color="auto"/>
        <w:bottom w:val="none" w:sz="0" w:space="0" w:color="auto"/>
        <w:right w:val="none" w:sz="0" w:space="0" w:color="auto"/>
      </w:divBdr>
    </w:div>
    <w:div w:id="494305145">
      <w:bodyDiv w:val="1"/>
      <w:marLeft w:val="0"/>
      <w:marRight w:val="0"/>
      <w:marTop w:val="0"/>
      <w:marBottom w:val="0"/>
      <w:divBdr>
        <w:top w:val="none" w:sz="0" w:space="0" w:color="auto"/>
        <w:left w:val="none" w:sz="0" w:space="0" w:color="auto"/>
        <w:bottom w:val="none" w:sz="0" w:space="0" w:color="auto"/>
        <w:right w:val="none" w:sz="0" w:space="0" w:color="auto"/>
      </w:divBdr>
    </w:div>
    <w:div w:id="503515972">
      <w:bodyDiv w:val="1"/>
      <w:marLeft w:val="0"/>
      <w:marRight w:val="0"/>
      <w:marTop w:val="0"/>
      <w:marBottom w:val="0"/>
      <w:divBdr>
        <w:top w:val="none" w:sz="0" w:space="0" w:color="auto"/>
        <w:left w:val="none" w:sz="0" w:space="0" w:color="auto"/>
        <w:bottom w:val="none" w:sz="0" w:space="0" w:color="auto"/>
        <w:right w:val="none" w:sz="0" w:space="0" w:color="auto"/>
      </w:divBdr>
    </w:div>
    <w:div w:id="538666456">
      <w:bodyDiv w:val="1"/>
      <w:marLeft w:val="0"/>
      <w:marRight w:val="0"/>
      <w:marTop w:val="0"/>
      <w:marBottom w:val="0"/>
      <w:divBdr>
        <w:top w:val="none" w:sz="0" w:space="0" w:color="auto"/>
        <w:left w:val="none" w:sz="0" w:space="0" w:color="auto"/>
        <w:bottom w:val="none" w:sz="0" w:space="0" w:color="auto"/>
        <w:right w:val="none" w:sz="0" w:space="0" w:color="auto"/>
      </w:divBdr>
    </w:div>
    <w:div w:id="544366423">
      <w:bodyDiv w:val="1"/>
      <w:marLeft w:val="0"/>
      <w:marRight w:val="0"/>
      <w:marTop w:val="0"/>
      <w:marBottom w:val="0"/>
      <w:divBdr>
        <w:top w:val="none" w:sz="0" w:space="0" w:color="auto"/>
        <w:left w:val="none" w:sz="0" w:space="0" w:color="auto"/>
        <w:bottom w:val="none" w:sz="0" w:space="0" w:color="auto"/>
        <w:right w:val="none" w:sz="0" w:space="0" w:color="auto"/>
      </w:divBdr>
    </w:div>
    <w:div w:id="548230084">
      <w:bodyDiv w:val="1"/>
      <w:marLeft w:val="0"/>
      <w:marRight w:val="0"/>
      <w:marTop w:val="0"/>
      <w:marBottom w:val="0"/>
      <w:divBdr>
        <w:top w:val="none" w:sz="0" w:space="0" w:color="auto"/>
        <w:left w:val="none" w:sz="0" w:space="0" w:color="auto"/>
        <w:bottom w:val="none" w:sz="0" w:space="0" w:color="auto"/>
        <w:right w:val="none" w:sz="0" w:space="0" w:color="auto"/>
      </w:divBdr>
    </w:div>
    <w:div w:id="575743633">
      <w:bodyDiv w:val="1"/>
      <w:marLeft w:val="0"/>
      <w:marRight w:val="0"/>
      <w:marTop w:val="0"/>
      <w:marBottom w:val="0"/>
      <w:divBdr>
        <w:top w:val="none" w:sz="0" w:space="0" w:color="auto"/>
        <w:left w:val="none" w:sz="0" w:space="0" w:color="auto"/>
        <w:bottom w:val="none" w:sz="0" w:space="0" w:color="auto"/>
        <w:right w:val="none" w:sz="0" w:space="0" w:color="auto"/>
      </w:divBdr>
    </w:div>
    <w:div w:id="578757844">
      <w:bodyDiv w:val="1"/>
      <w:marLeft w:val="0"/>
      <w:marRight w:val="0"/>
      <w:marTop w:val="0"/>
      <w:marBottom w:val="0"/>
      <w:divBdr>
        <w:top w:val="none" w:sz="0" w:space="0" w:color="auto"/>
        <w:left w:val="none" w:sz="0" w:space="0" w:color="auto"/>
        <w:bottom w:val="none" w:sz="0" w:space="0" w:color="auto"/>
        <w:right w:val="none" w:sz="0" w:space="0" w:color="auto"/>
      </w:divBdr>
    </w:div>
    <w:div w:id="584341537">
      <w:bodyDiv w:val="1"/>
      <w:marLeft w:val="0"/>
      <w:marRight w:val="0"/>
      <w:marTop w:val="0"/>
      <w:marBottom w:val="0"/>
      <w:divBdr>
        <w:top w:val="none" w:sz="0" w:space="0" w:color="auto"/>
        <w:left w:val="none" w:sz="0" w:space="0" w:color="auto"/>
        <w:bottom w:val="none" w:sz="0" w:space="0" w:color="auto"/>
        <w:right w:val="none" w:sz="0" w:space="0" w:color="auto"/>
      </w:divBdr>
    </w:div>
    <w:div w:id="587269827">
      <w:bodyDiv w:val="1"/>
      <w:marLeft w:val="0"/>
      <w:marRight w:val="0"/>
      <w:marTop w:val="0"/>
      <w:marBottom w:val="0"/>
      <w:divBdr>
        <w:top w:val="none" w:sz="0" w:space="0" w:color="auto"/>
        <w:left w:val="none" w:sz="0" w:space="0" w:color="auto"/>
        <w:bottom w:val="none" w:sz="0" w:space="0" w:color="auto"/>
        <w:right w:val="none" w:sz="0" w:space="0" w:color="auto"/>
      </w:divBdr>
    </w:div>
    <w:div w:id="643049075">
      <w:bodyDiv w:val="1"/>
      <w:marLeft w:val="0"/>
      <w:marRight w:val="0"/>
      <w:marTop w:val="0"/>
      <w:marBottom w:val="0"/>
      <w:divBdr>
        <w:top w:val="none" w:sz="0" w:space="0" w:color="auto"/>
        <w:left w:val="none" w:sz="0" w:space="0" w:color="auto"/>
        <w:bottom w:val="none" w:sz="0" w:space="0" w:color="auto"/>
        <w:right w:val="none" w:sz="0" w:space="0" w:color="auto"/>
      </w:divBdr>
    </w:div>
    <w:div w:id="652877252">
      <w:bodyDiv w:val="1"/>
      <w:marLeft w:val="0"/>
      <w:marRight w:val="0"/>
      <w:marTop w:val="0"/>
      <w:marBottom w:val="0"/>
      <w:divBdr>
        <w:top w:val="none" w:sz="0" w:space="0" w:color="auto"/>
        <w:left w:val="none" w:sz="0" w:space="0" w:color="auto"/>
        <w:bottom w:val="none" w:sz="0" w:space="0" w:color="auto"/>
        <w:right w:val="none" w:sz="0" w:space="0" w:color="auto"/>
      </w:divBdr>
    </w:div>
    <w:div w:id="655307305">
      <w:bodyDiv w:val="1"/>
      <w:marLeft w:val="0"/>
      <w:marRight w:val="0"/>
      <w:marTop w:val="0"/>
      <w:marBottom w:val="0"/>
      <w:divBdr>
        <w:top w:val="none" w:sz="0" w:space="0" w:color="auto"/>
        <w:left w:val="none" w:sz="0" w:space="0" w:color="auto"/>
        <w:bottom w:val="none" w:sz="0" w:space="0" w:color="auto"/>
        <w:right w:val="none" w:sz="0" w:space="0" w:color="auto"/>
      </w:divBdr>
    </w:div>
    <w:div w:id="660355726">
      <w:bodyDiv w:val="1"/>
      <w:marLeft w:val="0"/>
      <w:marRight w:val="0"/>
      <w:marTop w:val="0"/>
      <w:marBottom w:val="0"/>
      <w:divBdr>
        <w:top w:val="none" w:sz="0" w:space="0" w:color="auto"/>
        <w:left w:val="none" w:sz="0" w:space="0" w:color="auto"/>
        <w:bottom w:val="none" w:sz="0" w:space="0" w:color="auto"/>
        <w:right w:val="none" w:sz="0" w:space="0" w:color="auto"/>
      </w:divBdr>
    </w:div>
    <w:div w:id="661740670">
      <w:bodyDiv w:val="1"/>
      <w:marLeft w:val="0"/>
      <w:marRight w:val="0"/>
      <w:marTop w:val="0"/>
      <w:marBottom w:val="0"/>
      <w:divBdr>
        <w:top w:val="none" w:sz="0" w:space="0" w:color="auto"/>
        <w:left w:val="none" w:sz="0" w:space="0" w:color="auto"/>
        <w:bottom w:val="none" w:sz="0" w:space="0" w:color="auto"/>
        <w:right w:val="none" w:sz="0" w:space="0" w:color="auto"/>
      </w:divBdr>
    </w:div>
    <w:div w:id="670332208">
      <w:bodyDiv w:val="1"/>
      <w:marLeft w:val="0"/>
      <w:marRight w:val="0"/>
      <w:marTop w:val="0"/>
      <w:marBottom w:val="0"/>
      <w:divBdr>
        <w:top w:val="none" w:sz="0" w:space="0" w:color="auto"/>
        <w:left w:val="none" w:sz="0" w:space="0" w:color="auto"/>
        <w:bottom w:val="none" w:sz="0" w:space="0" w:color="auto"/>
        <w:right w:val="none" w:sz="0" w:space="0" w:color="auto"/>
      </w:divBdr>
    </w:div>
    <w:div w:id="681248650">
      <w:bodyDiv w:val="1"/>
      <w:marLeft w:val="0"/>
      <w:marRight w:val="0"/>
      <w:marTop w:val="0"/>
      <w:marBottom w:val="0"/>
      <w:divBdr>
        <w:top w:val="none" w:sz="0" w:space="0" w:color="auto"/>
        <w:left w:val="none" w:sz="0" w:space="0" w:color="auto"/>
        <w:bottom w:val="none" w:sz="0" w:space="0" w:color="auto"/>
        <w:right w:val="none" w:sz="0" w:space="0" w:color="auto"/>
      </w:divBdr>
    </w:div>
    <w:div w:id="689794284">
      <w:bodyDiv w:val="1"/>
      <w:marLeft w:val="0"/>
      <w:marRight w:val="0"/>
      <w:marTop w:val="0"/>
      <w:marBottom w:val="0"/>
      <w:divBdr>
        <w:top w:val="none" w:sz="0" w:space="0" w:color="auto"/>
        <w:left w:val="none" w:sz="0" w:space="0" w:color="auto"/>
        <w:bottom w:val="none" w:sz="0" w:space="0" w:color="auto"/>
        <w:right w:val="none" w:sz="0" w:space="0" w:color="auto"/>
      </w:divBdr>
    </w:div>
    <w:div w:id="700672895">
      <w:bodyDiv w:val="1"/>
      <w:marLeft w:val="0"/>
      <w:marRight w:val="0"/>
      <w:marTop w:val="0"/>
      <w:marBottom w:val="0"/>
      <w:divBdr>
        <w:top w:val="none" w:sz="0" w:space="0" w:color="auto"/>
        <w:left w:val="none" w:sz="0" w:space="0" w:color="auto"/>
        <w:bottom w:val="none" w:sz="0" w:space="0" w:color="auto"/>
        <w:right w:val="none" w:sz="0" w:space="0" w:color="auto"/>
      </w:divBdr>
    </w:div>
    <w:div w:id="758717930">
      <w:bodyDiv w:val="1"/>
      <w:marLeft w:val="0"/>
      <w:marRight w:val="0"/>
      <w:marTop w:val="0"/>
      <w:marBottom w:val="0"/>
      <w:divBdr>
        <w:top w:val="none" w:sz="0" w:space="0" w:color="auto"/>
        <w:left w:val="none" w:sz="0" w:space="0" w:color="auto"/>
        <w:bottom w:val="none" w:sz="0" w:space="0" w:color="auto"/>
        <w:right w:val="none" w:sz="0" w:space="0" w:color="auto"/>
      </w:divBdr>
    </w:div>
    <w:div w:id="797920987">
      <w:bodyDiv w:val="1"/>
      <w:marLeft w:val="0"/>
      <w:marRight w:val="0"/>
      <w:marTop w:val="0"/>
      <w:marBottom w:val="0"/>
      <w:divBdr>
        <w:top w:val="none" w:sz="0" w:space="0" w:color="auto"/>
        <w:left w:val="none" w:sz="0" w:space="0" w:color="auto"/>
        <w:bottom w:val="none" w:sz="0" w:space="0" w:color="auto"/>
        <w:right w:val="none" w:sz="0" w:space="0" w:color="auto"/>
      </w:divBdr>
    </w:div>
    <w:div w:id="807744568">
      <w:bodyDiv w:val="1"/>
      <w:marLeft w:val="0"/>
      <w:marRight w:val="0"/>
      <w:marTop w:val="0"/>
      <w:marBottom w:val="0"/>
      <w:divBdr>
        <w:top w:val="none" w:sz="0" w:space="0" w:color="auto"/>
        <w:left w:val="none" w:sz="0" w:space="0" w:color="auto"/>
        <w:bottom w:val="none" w:sz="0" w:space="0" w:color="auto"/>
        <w:right w:val="none" w:sz="0" w:space="0" w:color="auto"/>
      </w:divBdr>
    </w:div>
    <w:div w:id="814682485">
      <w:bodyDiv w:val="1"/>
      <w:marLeft w:val="0"/>
      <w:marRight w:val="0"/>
      <w:marTop w:val="0"/>
      <w:marBottom w:val="0"/>
      <w:divBdr>
        <w:top w:val="none" w:sz="0" w:space="0" w:color="auto"/>
        <w:left w:val="none" w:sz="0" w:space="0" w:color="auto"/>
        <w:bottom w:val="none" w:sz="0" w:space="0" w:color="auto"/>
        <w:right w:val="none" w:sz="0" w:space="0" w:color="auto"/>
      </w:divBdr>
    </w:div>
    <w:div w:id="817921642">
      <w:bodyDiv w:val="1"/>
      <w:marLeft w:val="0"/>
      <w:marRight w:val="0"/>
      <w:marTop w:val="0"/>
      <w:marBottom w:val="0"/>
      <w:divBdr>
        <w:top w:val="none" w:sz="0" w:space="0" w:color="auto"/>
        <w:left w:val="none" w:sz="0" w:space="0" w:color="auto"/>
        <w:bottom w:val="none" w:sz="0" w:space="0" w:color="auto"/>
        <w:right w:val="none" w:sz="0" w:space="0" w:color="auto"/>
      </w:divBdr>
    </w:div>
    <w:div w:id="820120440">
      <w:bodyDiv w:val="1"/>
      <w:marLeft w:val="0"/>
      <w:marRight w:val="0"/>
      <w:marTop w:val="0"/>
      <w:marBottom w:val="0"/>
      <w:divBdr>
        <w:top w:val="none" w:sz="0" w:space="0" w:color="auto"/>
        <w:left w:val="none" w:sz="0" w:space="0" w:color="auto"/>
        <w:bottom w:val="none" w:sz="0" w:space="0" w:color="auto"/>
        <w:right w:val="none" w:sz="0" w:space="0" w:color="auto"/>
      </w:divBdr>
    </w:div>
    <w:div w:id="822965556">
      <w:bodyDiv w:val="1"/>
      <w:marLeft w:val="0"/>
      <w:marRight w:val="0"/>
      <w:marTop w:val="0"/>
      <w:marBottom w:val="0"/>
      <w:divBdr>
        <w:top w:val="none" w:sz="0" w:space="0" w:color="auto"/>
        <w:left w:val="none" w:sz="0" w:space="0" w:color="auto"/>
        <w:bottom w:val="none" w:sz="0" w:space="0" w:color="auto"/>
        <w:right w:val="none" w:sz="0" w:space="0" w:color="auto"/>
      </w:divBdr>
    </w:div>
    <w:div w:id="833375547">
      <w:bodyDiv w:val="1"/>
      <w:marLeft w:val="0"/>
      <w:marRight w:val="0"/>
      <w:marTop w:val="0"/>
      <w:marBottom w:val="0"/>
      <w:divBdr>
        <w:top w:val="none" w:sz="0" w:space="0" w:color="auto"/>
        <w:left w:val="none" w:sz="0" w:space="0" w:color="auto"/>
        <w:bottom w:val="none" w:sz="0" w:space="0" w:color="auto"/>
        <w:right w:val="none" w:sz="0" w:space="0" w:color="auto"/>
      </w:divBdr>
    </w:div>
    <w:div w:id="841554122">
      <w:bodyDiv w:val="1"/>
      <w:marLeft w:val="0"/>
      <w:marRight w:val="0"/>
      <w:marTop w:val="0"/>
      <w:marBottom w:val="0"/>
      <w:divBdr>
        <w:top w:val="none" w:sz="0" w:space="0" w:color="auto"/>
        <w:left w:val="none" w:sz="0" w:space="0" w:color="auto"/>
        <w:bottom w:val="none" w:sz="0" w:space="0" w:color="auto"/>
        <w:right w:val="none" w:sz="0" w:space="0" w:color="auto"/>
      </w:divBdr>
    </w:div>
    <w:div w:id="864363846">
      <w:bodyDiv w:val="1"/>
      <w:marLeft w:val="0"/>
      <w:marRight w:val="0"/>
      <w:marTop w:val="0"/>
      <w:marBottom w:val="0"/>
      <w:divBdr>
        <w:top w:val="none" w:sz="0" w:space="0" w:color="auto"/>
        <w:left w:val="none" w:sz="0" w:space="0" w:color="auto"/>
        <w:bottom w:val="none" w:sz="0" w:space="0" w:color="auto"/>
        <w:right w:val="none" w:sz="0" w:space="0" w:color="auto"/>
      </w:divBdr>
    </w:div>
    <w:div w:id="878709124">
      <w:bodyDiv w:val="1"/>
      <w:marLeft w:val="0"/>
      <w:marRight w:val="0"/>
      <w:marTop w:val="0"/>
      <w:marBottom w:val="0"/>
      <w:divBdr>
        <w:top w:val="none" w:sz="0" w:space="0" w:color="auto"/>
        <w:left w:val="none" w:sz="0" w:space="0" w:color="auto"/>
        <w:bottom w:val="none" w:sz="0" w:space="0" w:color="auto"/>
        <w:right w:val="none" w:sz="0" w:space="0" w:color="auto"/>
      </w:divBdr>
    </w:div>
    <w:div w:id="913861301">
      <w:bodyDiv w:val="1"/>
      <w:marLeft w:val="0"/>
      <w:marRight w:val="0"/>
      <w:marTop w:val="0"/>
      <w:marBottom w:val="0"/>
      <w:divBdr>
        <w:top w:val="none" w:sz="0" w:space="0" w:color="auto"/>
        <w:left w:val="none" w:sz="0" w:space="0" w:color="auto"/>
        <w:bottom w:val="none" w:sz="0" w:space="0" w:color="auto"/>
        <w:right w:val="none" w:sz="0" w:space="0" w:color="auto"/>
      </w:divBdr>
    </w:div>
    <w:div w:id="914897581">
      <w:bodyDiv w:val="1"/>
      <w:marLeft w:val="0"/>
      <w:marRight w:val="0"/>
      <w:marTop w:val="0"/>
      <w:marBottom w:val="0"/>
      <w:divBdr>
        <w:top w:val="none" w:sz="0" w:space="0" w:color="auto"/>
        <w:left w:val="none" w:sz="0" w:space="0" w:color="auto"/>
        <w:bottom w:val="none" w:sz="0" w:space="0" w:color="auto"/>
        <w:right w:val="none" w:sz="0" w:space="0" w:color="auto"/>
      </w:divBdr>
    </w:div>
    <w:div w:id="918170461">
      <w:bodyDiv w:val="1"/>
      <w:marLeft w:val="0"/>
      <w:marRight w:val="0"/>
      <w:marTop w:val="0"/>
      <w:marBottom w:val="0"/>
      <w:divBdr>
        <w:top w:val="none" w:sz="0" w:space="0" w:color="auto"/>
        <w:left w:val="none" w:sz="0" w:space="0" w:color="auto"/>
        <w:bottom w:val="none" w:sz="0" w:space="0" w:color="auto"/>
        <w:right w:val="none" w:sz="0" w:space="0" w:color="auto"/>
      </w:divBdr>
    </w:div>
    <w:div w:id="947003409">
      <w:bodyDiv w:val="1"/>
      <w:marLeft w:val="0"/>
      <w:marRight w:val="0"/>
      <w:marTop w:val="0"/>
      <w:marBottom w:val="0"/>
      <w:divBdr>
        <w:top w:val="none" w:sz="0" w:space="0" w:color="auto"/>
        <w:left w:val="none" w:sz="0" w:space="0" w:color="auto"/>
        <w:bottom w:val="none" w:sz="0" w:space="0" w:color="auto"/>
        <w:right w:val="none" w:sz="0" w:space="0" w:color="auto"/>
      </w:divBdr>
    </w:div>
    <w:div w:id="974484283">
      <w:bodyDiv w:val="1"/>
      <w:marLeft w:val="0"/>
      <w:marRight w:val="0"/>
      <w:marTop w:val="0"/>
      <w:marBottom w:val="0"/>
      <w:divBdr>
        <w:top w:val="none" w:sz="0" w:space="0" w:color="auto"/>
        <w:left w:val="none" w:sz="0" w:space="0" w:color="auto"/>
        <w:bottom w:val="none" w:sz="0" w:space="0" w:color="auto"/>
        <w:right w:val="none" w:sz="0" w:space="0" w:color="auto"/>
      </w:divBdr>
    </w:div>
    <w:div w:id="976378395">
      <w:bodyDiv w:val="1"/>
      <w:marLeft w:val="0"/>
      <w:marRight w:val="0"/>
      <w:marTop w:val="0"/>
      <w:marBottom w:val="0"/>
      <w:divBdr>
        <w:top w:val="none" w:sz="0" w:space="0" w:color="auto"/>
        <w:left w:val="none" w:sz="0" w:space="0" w:color="auto"/>
        <w:bottom w:val="none" w:sz="0" w:space="0" w:color="auto"/>
        <w:right w:val="none" w:sz="0" w:space="0" w:color="auto"/>
      </w:divBdr>
    </w:div>
    <w:div w:id="980112027">
      <w:bodyDiv w:val="1"/>
      <w:marLeft w:val="0"/>
      <w:marRight w:val="0"/>
      <w:marTop w:val="0"/>
      <w:marBottom w:val="0"/>
      <w:divBdr>
        <w:top w:val="none" w:sz="0" w:space="0" w:color="auto"/>
        <w:left w:val="none" w:sz="0" w:space="0" w:color="auto"/>
        <w:bottom w:val="none" w:sz="0" w:space="0" w:color="auto"/>
        <w:right w:val="none" w:sz="0" w:space="0" w:color="auto"/>
      </w:divBdr>
    </w:div>
    <w:div w:id="980187632">
      <w:bodyDiv w:val="1"/>
      <w:marLeft w:val="0"/>
      <w:marRight w:val="0"/>
      <w:marTop w:val="0"/>
      <w:marBottom w:val="0"/>
      <w:divBdr>
        <w:top w:val="none" w:sz="0" w:space="0" w:color="auto"/>
        <w:left w:val="none" w:sz="0" w:space="0" w:color="auto"/>
        <w:bottom w:val="none" w:sz="0" w:space="0" w:color="auto"/>
        <w:right w:val="none" w:sz="0" w:space="0" w:color="auto"/>
      </w:divBdr>
    </w:div>
    <w:div w:id="984704770">
      <w:bodyDiv w:val="1"/>
      <w:marLeft w:val="0"/>
      <w:marRight w:val="0"/>
      <w:marTop w:val="0"/>
      <w:marBottom w:val="0"/>
      <w:divBdr>
        <w:top w:val="none" w:sz="0" w:space="0" w:color="auto"/>
        <w:left w:val="none" w:sz="0" w:space="0" w:color="auto"/>
        <w:bottom w:val="none" w:sz="0" w:space="0" w:color="auto"/>
        <w:right w:val="none" w:sz="0" w:space="0" w:color="auto"/>
      </w:divBdr>
    </w:div>
    <w:div w:id="989289034">
      <w:bodyDiv w:val="1"/>
      <w:marLeft w:val="0"/>
      <w:marRight w:val="0"/>
      <w:marTop w:val="0"/>
      <w:marBottom w:val="0"/>
      <w:divBdr>
        <w:top w:val="none" w:sz="0" w:space="0" w:color="auto"/>
        <w:left w:val="none" w:sz="0" w:space="0" w:color="auto"/>
        <w:bottom w:val="none" w:sz="0" w:space="0" w:color="auto"/>
        <w:right w:val="none" w:sz="0" w:space="0" w:color="auto"/>
      </w:divBdr>
    </w:div>
    <w:div w:id="1002008787">
      <w:bodyDiv w:val="1"/>
      <w:marLeft w:val="0"/>
      <w:marRight w:val="0"/>
      <w:marTop w:val="0"/>
      <w:marBottom w:val="0"/>
      <w:divBdr>
        <w:top w:val="none" w:sz="0" w:space="0" w:color="auto"/>
        <w:left w:val="none" w:sz="0" w:space="0" w:color="auto"/>
        <w:bottom w:val="none" w:sz="0" w:space="0" w:color="auto"/>
        <w:right w:val="none" w:sz="0" w:space="0" w:color="auto"/>
      </w:divBdr>
    </w:div>
    <w:div w:id="1037660101">
      <w:bodyDiv w:val="1"/>
      <w:marLeft w:val="0"/>
      <w:marRight w:val="0"/>
      <w:marTop w:val="0"/>
      <w:marBottom w:val="0"/>
      <w:divBdr>
        <w:top w:val="none" w:sz="0" w:space="0" w:color="auto"/>
        <w:left w:val="none" w:sz="0" w:space="0" w:color="auto"/>
        <w:bottom w:val="none" w:sz="0" w:space="0" w:color="auto"/>
        <w:right w:val="none" w:sz="0" w:space="0" w:color="auto"/>
      </w:divBdr>
    </w:div>
    <w:div w:id="1049763827">
      <w:bodyDiv w:val="1"/>
      <w:marLeft w:val="0"/>
      <w:marRight w:val="0"/>
      <w:marTop w:val="0"/>
      <w:marBottom w:val="0"/>
      <w:divBdr>
        <w:top w:val="none" w:sz="0" w:space="0" w:color="auto"/>
        <w:left w:val="none" w:sz="0" w:space="0" w:color="auto"/>
        <w:bottom w:val="none" w:sz="0" w:space="0" w:color="auto"/>
        <w:right w:val="none" w:sz="0" w:space="0" w:color="auto"/>
      </w:divBdr>
    </w:div>
    <w:div w:id="1067606079">
      <w:bodyDiv w:val="1"/>
      <w:marLeft w:val="0"/>
      <w:marRight w:val="0"/>
      <w:marTop w:val="0"/>
      <w:marBottom w:val="0"/>
      <w:divBdr>
        <w:top w:val="none" w:sz="0" w:space="0" w:color="auto"/>
        <w:left w:val="none" w:sz="0" w:space="0" w:color="auto"/>
        <w:bottom w:val="none" w:sz="0" w:space="0" w:color="auto"/>
        <w:right w:val="none" w:sz="0" w:space="0" w:color="auto"/>
      </w:divBdr>
    </w:div>
    <w:div w:id="1074279703">
      <w:bodyDiv w:val="1"/>
      <w:marLeft w:val="0"/>
      <w:marRight w:val="0"/>
      <w:marTop w:val="0"/>
      <w:marBottom w:val="0"/>
      <w:divBdr>
        <w:top w:val="none" w:sz="0" w:space="0" w:color="auto"/>
        <w:left w:val="none" w:sz="0" w:space="0" w:color="auto"/>
        <w:bottom w:val="none" w:sz="0" w:space="0" w:color="auto"/>
        <w:right w:val="none" w:sz="0" w:space="0" w:color="auto"/>
      </w:divBdr>
    </w:div>
    <w:div w:id="1096948698">
      <w:bodyDiv w:val="1"/>
      <w:marLeft w:val="0"/>
      <w:marRight w:val="0"/>
      <w:marTop w:val="0"/>
      <w:marBottom w:val="0"/>
      <w:divBdr>
        <w:top w:val="none" w:sz="0" w:space="0" w:color="auto"/>
        <w:left w:val="none" w:sz="0" w:space="0" w:color="auto"/>
        <w:bottom w:val="none" w:sz="0" w:space="0" w:color="auto"/>
        <w:right w:val="none" w:sz="0" w:space="0" w:color="auto"/>
      </w:divBdr>
    </w:div>
    <w:div w:id="1198542295">
      <w:bodyDiv w:val="1"/>
      <w:marLeft w:val="0"/>
      <w:marRight w:val="0"/>
      <w:marTop w:val="0"/>
      <w:marBottom w:val="0"/>
      <w:divBdr>
        <w:top w:val="none" w:sz="0" w:space="0" w:color="auto"/>
        <w:left w:val="none" w:sz="0" w:space="0" w:color="auto"/>
        <w:bottom w:val="none" w:sz="0" w:space="0" w:color="auto"/>
        <w:right w:val="none" w:sz="0" w:space="0" w:color="auto"/>
      </w:divBdr>
    </w:div>
    <w:div w:id="1233466287">
      <w:bodyDiv w:val="1"/>
      <w:marLeft w:val="0"/>
      <w:marRight w:val="0"/>
      <w:marTop w:val="0"/>
      <w:marBottom w:val="0"/>
      <w:divBdr>
        <w:top w:val="none" w:sz="0" w:space="0" w:color="auto"/>
        <w:left w:val="none" w:sz="0" w:space="0" w:color="auto"/>
        <w:bottom w:val="none" w:sz="0" w:space="0" w:color="auto"/>
        <w:right w:val="none" w:sz="0" w:space="0" w:color="auto"/>
      </w:divBdr>
    </w:div>
    <w:div w:id="1235358871">
      <w:bodyDiv w:val="1"/>
      <w:marLeft w:val="0"/>
      <w:marRight w:val="0"/>
      <w:marTop w:val="0"/>
      <w:marBottom w:val="0"/>
      <w:divBdr>
        <w:top w:val="none" w:sz="0" w:space="0" w:color="auto"/>
        <w:left w:val="none" w:sz="0" w:space="0" w:color="auto"/>
        <w:bottom w:val="none" w:sz="0" w:space="0" w:color="auto"/>
        <w:right w:val="none" w:sz="0" w:space="0" w:color="auto"/>
      </w:divBdr>
    </w:div>
    <w:div w:id="1240021261">
      <w:bodyDiv w:val="1"/>
      <w:marLeft w:val="0"/>
      <w:marRight w:val="0"/>
      <w:marTop w:val="0"/>
      <w:marBottom w:val="0"/>
      <w:divBdr>
        <w:top w:val="none" w:sz="0" w:space="0" w:color="auto"/>
        <w:left w:val="none" w:sz="0" w:space="0" w:color="auto"/>
        <w:bottom w:val="none" w:sz="0" w:space="0" w:color="auto"/>
        <w:right w:val="none" w:sz="0" w:space="0" w:color="auto"/>
      </w:divBdr>
    </w:div>
    <w:div w:id="1244217410">
      <w:bodyDiv w:val="1"/>
      <w:marLeft w:val="0"/>
      <w:marRight w:val="0"/>
      <w:marTop w:val="0"/>
      <w:marBottom w:val="0"/>
      <w:divBdr>
        <w:top w:val="none" w:sz="0" w:space="0" w:color="auto"/>
        <w:left w:val="none" w:sz="0" w:space="0" w:color="auto"/>
        <w:bottom w:val="none" w:sz="0" w:space="0" w:color="auto"/>
        <w:right w:val="none" w:sz="0" w:space="0" w:color="auto"/>
      </w:divBdr>
    </w:div>
    <w:div w:id="1245989973">
      <w:bodyDiv w:val="1"/>
      <w:marLeft w:val="0"/>
      <w:marRight w:val="0"/>
      <w:marTop w:val="0"/>
      <w:marBottom w:val="0"/>
      <w:divBdr>
        <w:top w:val="none" w:sz="0" w:space="0" w:color="auto"/>
        <w:left w:val="none" w:sz="0" w:space="0" w:color="auto"/>
        <w:bottom w:val="none" w:sz="0" w:space="0" w:color="auto"/>
        <w:right w:val="none" w:sz="0" w:space="0" w:color="auto"/>
      </w:divBdr>
    </w:div>
    <w:div w:id="1248610898">
      <w:bodyDiv w:val="1"/>
      <w:marLeft w:val="0"/>
      <w:marRight w:val="0"/>
      <w:marTop w:val="0"/>
      <w:marBottom w:val="0"/>
      <w:divBdr>
        <w:top w:val="none" w:sz="0" w:space="0" w:color="auto"/>
        <w:left w:val="none" w:sz="0" w:space="0" w:color="auto"/>
        <w:bottom w:val="none" w:sz="0" w:space="0" w:color="auto"/>
        <w:right w:val="none" w:sz="0" w:space="0" w:color="auto"/>
      </w:divBdr>
    </w:div>
    <w:div w:id="1274094060">
      <w:bodyDiv w:val="1"/>
      <w:marLeft w:val="0"/>
      <w:marRight w:val="0"/>
      <w:marTop w:val="0"/>
      <w:marBottom w:val="0"/>
      <w:divBdr>
        <w:top w:val="none" w:sz="0" w:space="0" w:color="auto"/>
        <w:left w:val="none" w:sz="0" w:space="0" w:color="auto"/>
        <w:bottom w:val="none" w:sz="0" w:space="0" w:color="auto"/>
        <w:right w:val="none" w:sz="0" w:space="0" w:color="auto"/>
      </w:divBdr>
    </w:div>
    <w:div w:id="1294167437">
      <w:bodyDiv w:val="1"/>
      <w:marLeft w:val="0"/>
      <w:marRight w:val="0"/>
      <w:marTop w:val="0"/>
      <w:marBottom w:val="0"/>
      <w:divBdr>
        <w:top w:val="none" w:sz="0" w:space="0" w:color="auto"/>
        <w:left w:val="none" w:sz="0" w:space="0" w:color="auto"/>
        <w:bottom w:val="none" w:sz="0" w:space="0" w:color="auto"/>
        <w:right w:val="none" w:sz="0" w:space="0" w:color="auto"/>
      </w:divBdr>
    </w:div>
    <w:div w:id="1297681346">
      <w:bodyDiv w:val="1"/>
      <w:marLeft w:val="0"/>
      <w:marRight w:val="0"/>
      <w:marTop w:val="0"/>
      <w:marBottom w:val="0"/>
      <w:divBdr>
        <w:top w:val="none" w:sz="0" w:space="0" w:color="auto"/>
        <w:left w:val="none" w:sz="0" w:space="0" w:color="auto"/>
        <w:bottom w:val="none" w:sz="0" w:space="0" w:color="auto"/>
        <w:right w:val="none" w:sz="0" w:space="0" w:color="auto"/>
      </w:divBdr>
    </w:div>
    <w:div w:id="1303805394">
      <w:bodyDiv w:val="1"/>
      <w:marLeft w:val="0"/>
      <w:marRight w:val="0"/>
      <w:marTop w:val="0"/>
      <w:marBottom w:val="0"/>
      <w:divBdr>
        <w:top w:val="none" w:sz="0" w:space="0" w:color="auto"/>
        <w:left w:val="none" w:sz="0" w:space="0" w:color="auto"/>
        <w:bottom w:val="none" w:sz="0" w:space="0" w:color="auto"/>
        <w:right w:val="none" w:sz="0" w:space="0" w:color="auto"/>
      </w:divBdr>
    </w:div>
    <w:div w:id="1309742331">
      <w:bodyDiv w:val="1"/>
      <w:marLeft w:val="0"/>
      <w:marRight w:val="0"/>
      <w:marTop w:val="0"/>
      <w:marBottom w:val="0"/>
      <w:divBdr>
        <w:top w:val="none" w:sz="0" w:space="0" w:color="auto"/>
        <w:left w:val="none" w:sz="0" w:space="0" w:color="auto"/>
        <w:bottom w:val="none" w:sz="0" w:space="0" w:color="auto"/>
        <w:right w:val="none" w:sz="0" w:space="0" w:color="auto"/>
      </w:divBdr>
    </w:div>
    <w:div w:id="1312174708">
      <w:bodyDiv w:val="1"/>
      <w:marLeft w:val="0"/>
      <w:marRight w:val="0"/>
      <w:marTop w:val="0"/>
      <w:marBottom w:val="0"/>
      <w:divBdr>
        <w:top w:val="none" w:sz="0" w:space="0" w:color="auto"/>
        <w:left w:val="none" w:sz="0" w:space="0" w:color="auto"/>
        <w:bottom w:val="none" w:sz="0" w:space="0" w:color="auto"/>
        <w:right w:val="none" w:sz="0" w:space="0" w:color="auto"/>
      </w:divBdr>
    </w:div>
    <w:div w:id="1316642652">
      <w:bodyDiv w:val="1"/>
      <w:marLeft w:val="0"/>
      <w:marRight w:val="0"/>
      <w:marTop w:val="0"/>
      <w:marBottom w:val="0"/>
      <w:divBdr>
        <w:top w:val="none" w:sz="0" w:space="0" w:color="auto"/>
        <w:left w:val="none" w:sz="0" w:space="0" w:color="auto"/>
        <w:bottom w:val="none" w:sz="0" w:space="0" w:color="auto"/>
        <w:right w:val="none" w:sz="0" w:space="0" w:color="auto"/>
      </w:divBdr>
    </w:div>
    <w:div w:id="1318529586">
      <w:bodyDiv w:val="1"/>
      <w:marLeft w:val="0"/>
      <w:marRight w:val="0"/>
      <w:marTop w:val="0"/>
      <w:marBottom w:val="0"/>
      <w:divBdr>
        <w:top w:val="none" w:sz="0" w:space="0" w:color="auto"/>
        <w:left w:val="none" w:sz="0" w:space="0" w:color="auto"/>
        <w:bottom w:val="none" w:sz="0" w:space="0" w:color="auto"/>
        <w:right w:val="none" w:sz="0" w:space="0" w:color="auto"/>
      </w:divBdr>
    </w:div>
    <w:div w:id="1348945591">
      <w:bodyDiv w:val="1"/>
      <w:marLeft w:val="0"/>
      <w:marRight w:val="0"/>
      <w:marTop w:val="0"/>
      <w:marBottom w:val="0"/>
      <w:divBdr>
        <w:top w:val="none" w:sz="0" w:space="0" w:color="auto"/>
        <w:left w:val="none" w:sz="0" w:space="0" w:color="auto"/>
        <w:bottom w:val="none" w:sz="0" w:space="0" w:color="auto"/>
        <w:right w:val="none" w:sz="0" w:space="0" w:color="auto"/>
      </w:divBdr>
    </w:div>
    <w:div w:id="1353536503">
      <w:bodyDiv w:val="1"/>
      <w:marLeft w:val="0"/>
      <w:marRight w:val="0"/>
      <w:marTop w:val="0"/>
      <w:marBottom w:val="0"/>
      <w:divBdr>
        <w:top w:val="none" w:sz="0" w:space="0" w:color="auto"/>
        <w:left w:val="none" w:sz="0" w:space="0" w:color="auto"/>
        <w:bottom w:val="none" w:sz="0" w:space="0" w:color="auto"/>
        <w:right w:val="none" w:sz="0" w:space="0" w:color="auto"/>
      </w:divBdr>
    </w:div>
    <w:div w:id="1359695989">
      <w:bodyDiv w:val="1"/>
      <w:marLeft w:val="0"/>
      <w:marRight w:val="0"/>
      <w:marTop w:val="0"/>
      <w:marBottom w:val="0"/>
      <w:divBdr>
        <w:top w:val="none" w:sz="0" w:space="0" w:color="auto"/>
        <w:left w:val="none" w:sz="0" w:space="0" w:color="auto"/>
        <w:bottom w:val="none" w:sz="0" w:space="0" w:color="auto"/>
        <w:right w:val="none" w:sz="0" w:space="0" w:color="auto"/>
      </w:divBdr>
    </w:div>
    <w:div w:id="1366757961">
      <w:bodyDiv w:val="1"/>
      <w:marLeft w:val="0"/>
      <w:marRight w:val="0"/>
      <w:marTop w:val="0"/>
      <w:marBottom w:val="0"/>
      <w:divBdr>
        <w:top w:val="none" w:sz="0" w:space="0" w:color="auto"/>
        <w:left w:val="none" w:sz="0" w:space="0" w:color="auto"/>
        <w:bottom w:val="none" w:sz="0" w:space="0" w:color="auto"/>
        <w:right w:val="none" w:sz="0" w:space="0" w:color="auto"/>
      </w:divBdr>
    </w:div>
    <w:div w:id="1384795725">
      <w:bodyDiv w:val="1"/>
      <w:marLeft w:val="0"/>
      <w:marRight w:val="0"/>
      <w:marTop w:val="0"/>
      <w:marBottom w:val="0"/>
      <w:divBdr>
        <w:top w:val="none" w:sz="0" w:space="0" w:color="auto"/>
        <w:left w:val="none" w:sz="0" w:space="0" w:color="auto"/>
        <w:bottom w:val="none" w:sz="0" w:space="0" w:color="auto"/>
        <w:right w:val="none" w:sz="0" w:space="0" w:color="auto"/>
      </w:divBdr>
    </w:div>
    <w:div w:id="1385829677">
      <w:bodyDiv w:val="1"/>
      <w:marLeft w:val="0"/>
      <w:marRight w:val="0"/>
      <w:marTop w:val="0"/>
      <w:marBottom w:val="0"/>
      <w:divBdr>
        <w:top w:val="none" w:sz="0" w:space="0" w:color="auto"/>
        <w:left w:val="none" w:sz="0" w:space="0" w:color="auto"/>
        <w:bottom w:val="none" w:sz="0" w:space="0" w:color="auto"/>
        <w:right w:val="none" w:sz="0" w:space="0" w:color="auto"/>
      </w:divBdr>
    </w:div>
    <w:div w:id="1392188482">
      <w:bodyDiv w:val="1"/>
      <w:marLeft w:val="0"/>
      <w:marRight w:val="0"/>
      <w:marTop w:val="0"/>
      <w:marBottom w:val="0"/>
      <w:divBdr>
        <w:top w:val="none" w:sz="0" w:space="0" w:color="auto"/>
        <w:left w:val="none" w:sz="0" w:space="0" w:color="auto"/>
        <w:bottom w:val="none" w:sz="0" w:space="0" w:color="auto"/>
        <w:right w:val="none" w:sz="0" w:space="0" w:color="auto"/>
      </w:divBdr>
    </w:div>
    <w:div w:id="1393698883">
      <w:bodyDiv w:val="1"/>
      <w:marLeft w:val="0"/>
      <w:marRight w:val="0"/>
      <w:marTop w:val="0"/>
      <w:marBottom w:val="0"/>
      <w:divBdr>
        <w:top w:val="none" w:sz="0" w:space="0" w:color="auto"/>
        <w:left w:val="none" w:sz="0" w:space="0" w:color="auto"/>
        <w:bottom w:val="none" w:sz="0" w:space="0" w:color="auto"/>
        <w:right w:val="none" w:sz="0" w:space="0" w:color="auto"/>
      </w:divBdr>
    </w:div>
    <w:div w:id="1393969796">
      <w:bodyDiv w:val="1"/>
      <w:marLeft w:val="0"/>
      <w:marRight w:val="0"/>
      <w:marTop w:val="0"/>
      <w:marBottom w:val="0"/>
      <w:divBdr>
        <w:top w:val="none" w:sz="0" w:space="0" w:color="auto"/>
        <w:left w:val="none" w:sz="0" w:space="0" w:color="auto"/>
        <w:bottom w:val="none" w:sz="0" w:space="0" w:color="auto"/>
        <w:right w:val="none" w:sz="0" w:space="0" w:color="auto"/>
      </w:divBdr>
    </w:div>
    <w:div w:id="1408842421">
      <w:bodyDiv w:val="1"/>
      <w:marLeft w:val="0"/>
      <w:marRight w:val="0"/>
      <w:marTop w:val="0"/>
      <w:marBottom w:val="0"/>
      <w:divBdr>
        <w:top w:val="none" w:sz="0" w:space="0" w:color="auto"/>
        <w:left w:val="none" w:sz="0" w:space="0" w:color="auto"/>
        <w:bottom w:val="none" w:sz="0" w:space="0" w:color="auto"/>
        <w:right w:val="none" w:sz="0" w:space="0" w:color="auto"/>
      </w:divBdr>
    </w:div>
    <w:div w:id="1419251894">
      <w:bodyDiv w:val="1"/>
      <w:marLeft w:val="0"/>
      <w:marRight w:val="0"/>
      <w:marTop w:val="0"/>
      <w:marBottom w:val="0"/>
      <w:divBdr>
        <w:top w:val="none" w:sz="0" w:space="0" w:color="auto"/>
        <w:left w:val="none" w:sz="0" w:space="0" w:color="auto"/>
        <w:bottom w:val="none" w:sz="0" w:space="0" w:color="auto"/>
        <w:right w:val="none" w:sz="0" w:space="0" w:color="auto"/>
      </w:divBdr>
    </w:div>
    <w:div w:id="1438453094">
      <w:bodyDiv w:val="1"/>
      <w:marLeft w:val="0"/>
      <w:marRight w:val="0"/>
      <w:marTop w:val="0"/>
      <w:marBottom w:val="0"/>
      <w:divBdr>
        <w:top w:val="none" w:sz="0" w:space="0" w:color="auto"/>
        <w:left w:val="none" w:sz="0" w:space="0" w:color="auto"/>
        <w:bottom w:val="none" w:sz="0" w:space="0" w:color="auto"/>
        <w:right w:val="none" w:sz="0" w:space="0" w:color="auto"/>
      </w:divBdr>
    </w:div>
    <w:div w:id="1512337287">
      <w:bodyDiv w:val="1"/>
      <w:marLeft w:val="0"/>
      <w:marRight w:val="0"/>
      <w:marTop w:val="0"/>
      <w:marBottom w:val="0"/>
      <w:divBdr>
        <w:top w:val="none" w:sz="0" w:space="0" w:color="auto"/>
        <w:left w:val="none" w:sz="0" w:space="0" w:color="auto"/>
        <w:bottom w:val="none" w:sz="0" w:space="0" w:color="auto"/>
        <w:right w:val="none" w:sz="0" w:space="0" w:color="auto"/>
      </w:divBdr>
    </w:div>
    <w:div w:id="1517693711">
      <w:bodyDiv w:val="1"/>
      <w:marLeft w:val="0"/>
      <w:marRight w:val="0"/>
      <w:marTop w:val="0"/>
      <w:marBottom w:val="0"/>
      <w:divBdr>
        <w:top w:val="none" w:sz="0" w:space="0" w:color="auto"/>
        <w:left w:val="none" w:sz="0" w:space="0" w:color="auto"/>
        <w:bottom w:val="none" w:sz="0" w:space="0" w:color="auto"/>
        <w:right w:val="none" w:sz="0" w:space="0" w:color="auto"/>
      </w:divBdr>
    </w:div>
    <w:div w:id="1520971639">
      <w:bodyDiv w:val="1"/>
      <w:marLeft w:val="0"/>
      <w:marRight w:val="0"/>
      <w:marTop w:val="0"/>
      <w:marBottom w:val="0"/>
      <w:divBdr>
        <w:top w:val="none" w:sz="0" w:space="0" w:color="auto"/>
        <w:left w:val="none" w:sz="0" w:space="0" w:color="auto"/>
        <w:bottom w:val="none" w:sz="0" w:space="0" w:color="auto"/>
        <w:right w:val="none" w:sz="0" w:space="0" w:color="auto"/>
      </w:divBdr>
    </w:div>
    <w:div w:id="1533108887">
      <w:bodyDiv w:val="1"/>
      <w:marLeft w:val="0"/>
      <w:marRight w:val="0"/>
      <w:marTop w:val="0"/>
      <w:marBottom w:val="0"/>
      <w:divBdr>
        <w:top w:val="none" w:sz="0" w:space="0" w:color="auto"/>
        <w:left w:val="none" w:sz="0" w:space="0" w:color="auto"/>
        <w:bottom w:val="none" w:sz="0" w:space="0" w:color="auto"/>
        <w:right w:val="none" w:sz="0" w:space="0" w:color="auto"/>
      </w:divBdr>
    </w:div>
    <w:div w:id="1567497536">
      <w:bodyDiv w:val="1"/>
      <w:marLeft w:val="0"/>
      <w:marRight w:val="0"/>
      <w:marTop w:val="0"/>
      <w:marBottom w:val="0"/>
      <w:divBdr>
        <w:top w:val="none" w:sz="0" w:space="0" w:color="auto"/>
        <w:left w:val="none" w:sz="0" w:space="0" w:color="auto"/>
        <w:bottom w:val="none" w:sz="0" w:space="0" w:color="auto"/>
        <w:right w:val="none" w:sz="0" w:space="0" w:color="auto"/>
      </w:divBdr>
    </w:div>
    <w:div w:id="1571884773">
      <w:bodyDiv w:val="1"/>
      <w:marLeft w:val="0"/>
      <w:marRight w:val="0"/>
      <w:marTop w:val="0"/>
      <w:marBottom w:val="0"/>
      <w:divBdr>
        <w:top w:val="none" w:sz="0" w:space="0" w:color="auto"/>
        <w:left w:val="none" w:sz="0" w:space="0" w:color="auto"/>
        <w:bottom w:val="none" w:sz="0" w:space="0" w:color="auto"/>
        <w:right w:val="none" w:sz="0" w:space="0" w:color="auto"/>
      </w:divBdr>
    </w:div>
    <w:div w:id="1598441215">
      <w:bodyDiv w:val="1"/>
      <w:marLeft w:val="0"/>
      <w:marRight w:val="0"/>
      <w:marTop w:val="0"/>
      <w:marBottom w:val="0"/>
      <w:divBdr>
        <w:top w:val="none" w:sz="0" w:space="0" w:color="auto"/>
        <w:left w:val="none" w:sz="0" w:space="0" w:color="auto"/>
        <w:bottom w:val="none" w:sz="0" w:space="0" w:color="auto"/>
        <w:right w:val="none" w:sz="0" w:space="0" w:color="auto"/>
      </w:divBdr>
    </w:div>
    <w:div w:id="1611010557">
      <w:bodyDiv w:val="1"/>
      <w:marLeft w:val="0"/>
      <w:marRight w:val="0"/>
      <w:marTop w:val="0"/>
      <w:marBottom w:val="0"/>
      <w:divBdr>
        <w:top w:val="none" w:sz="0" w:space="0" w:color="auto"/>
        <w:left w:val="none" w:sz="0" w:space="0" w:color="auto"/>
        <w:bottom w:val="none" w:sz="0" w:space="0" w:color="auto"/>
        <w:right w:val="none" w:sz="0" w:space="0" w:color="auto"/>
      </w:divBdr>
    </w:div>
    <w:div w:id="1618100028">
      <w:bodyDiv w:val="1"/>
      <w:marLeft w:val="0"/>
      <w:marRight w:val="0"/>
      <w:marTop w:val="0"/>
      <w:marBottom w:val="0"/>
      <w:divBdr>
        <w:top w:val="none" w:sz="0" w:space="0" w:color="auto"/>
        <w:left w:val="none" w:sz="0" w:space="0" w:color="auto"/>
        <w:bottom w:val="none" w:sz="0" w:space="0" w:color="auto"/>
        <w:right w:val="none" w:sz="0" w:space="0" w:color="auto"/>
      </w:divBdr>
    </w:div>
    <w:div w:id="1623534954">
      <w:bodyDiv w:val="1"/>
      <w:marLeft w:val="0"/>
      <w:marRight w:val="0"/>
      <w:marTop w:val="0"/>
      <w:marBottom w:val="0"/>
      <w:divBdr>
        <w:top w:val="none" w:sz="0" w:space="0" w:color="auto"/>
        <w:left w:val="none" w:sz="0" w:space="0" w:color="auto"/>
        <w:bottom w:val="none" w:sz="0" w:space="0" w:color="auto"/>
        <w:right w:val="none" w:sz="0" w:space="0" w:color="auto"/>
      </w:divBdr>
    </w:div>
    <w:div w:id="1659070209">
      <w:bodyDiv w:val="1"/>
      <w:marLeft w:val="0"/>
      <w:marRight w:val="0"/>
      <w:marTop w:val="0"/>
      <w:marBottom w:val="0"/>
      <w:divBdr>
        <w:top w:val="none" w:sz="0" w:space="0" w:color="auto"/>
        <w:left w:val="none" w:sz="0" w:space="0" w:color="auto"/>
        <w:bottom w:val="none" w:sz="0" w:space="0" w:color="auto"/>
        <w:right w:val="none" w:sz="0" w:space="0" w:color="auto"/>
      </w:divBdr>
    </w:div>
    <w:div w:id="1661807719">
      <w:bodyDiv w:val="1"/>
      <w:marLeft w:val="0"/>
      <w:marRight w:val="0"/>
      <w:marTop w:val="0"/>
      <w:marBottom w:val="0"/>
      <w:divBdr>
        <w:top w:val="none" w:sz="0" w:space="0" w:color="auto"/>
        <w:left w:val="none" w:sz="0" w:space="0" w:color="auto"/>
        <w:bottom w:val="none" w:sz="0" w:space="0" w:color="auto"/>
        <w:right w:val="none" w:sz="0" w:space="0" w:color="auto"/>
      </w:divBdr>
    </w:div>
    <w:div w:id="1674992133">
      <w:bodyDiv w:val="1"/>
      <w:marLeft w:val="0"/>
      <w:marRight w:val="0"/>
      <w:marTop w:val="0"/>
      <w:marBottom w:val="0"/>
      <w:divBdr>
        <w:top w:val="none" w:sz="0" w:space="0" w:color="auto"/>
        <w:left w:val="none" w:sz="0" w:space="0" w:color="auto"/>
        <w:bottom w:val="none" w:sz="0" w:space="0" w:color="auto"/>
        <w:right w:val="none" w:sz="0" w:space="0" w:color="auto"/>
      </w:divBdr>
    </w:div>
    <w:div w:id="1680692940">
      <w:bodyDiv w:val="1"/>
      <w:marLeft w:val="0"/>
      <w:marRight w:val="0"/>
      <w:marTop w:val="0"/>
      <w:marBottom w:val="0"/>
      <w:divBdr>
        <w:top w:val="none" w:sz="0" w:space="0" w:color="auto"/>
        <w:left w:val="none" w:sz="0" w:space="0" w:color="auto"/>
        <w:bottom w:val="none" w:sz="0" w:space="0" w:color="auto"/>
        <w:right w:val="none" w:sz="0" w:space="0" w:color="auto"/>
      </w:divBdr>
    </w:div>
    <w:div w:id="1692756822">
      <w:bodyDiv w:val="1"/>
      <w:marLeft w:val="0"/>
      <w:marRight w:val="0"/>
      <w:marTop w:val="0"/>
      <w:marBottom w:val="0"/>
      <w:divBdr>
        <w:top w:val="none" w:sz="0" w:space="0" w:color="auto"/>
        <w:left w:val="none" w:sz="0" w:space="0" w:color="auto"/>
        <w:bottom w:val="none" w:sz="0" w:space="0" w:color="auto"/>
        <w:right w:val="none" w:sz="0" w:space="0" w:color="auto"/>
      </w:divBdr>
    </w:div>
    <w:div w:id="1744793418">
      <w:bodyDiv w:val="1"/>
      <w:marLeft w:val="0"/>
      <w:marRight w:val="0"/>
      <w:marTop w:val="0"/>
      <w:marBottom w:val="0"/>
      <w:divBdr>
        <w:top w:val="none" w:sz="0" w:space="0" w:color="auto"/>
        <w:left w:val="none" w:sz="0" w:space="0" w:color="auto"/>
        <w:bottom w:val="none" w:sz="0" w:space="0" w:color="auto"/>
        <w:right w:val="none" w:sz="0" w:space="0" w:color="auto"/>
      </w:divBdr>
    </w:div>
    <w:div w:id="1767654469">
      <w:bodyDiv w:val="1"/>
      <w:marLeft w:val="0"/>
      <w:marRight w:val="0"/>
      <w:marTop w:val="0"/>
      <w:marBottom w:val="0"/>
      <w:divBdr>
        <w:top w:val="none" w:sz="0" w:space="0" w:color="auto"/>
        <w:left w:val="none" w:sz="0" w:space="0" w:color="auto"/>
        <w:bottom w:val="none" w:sz="0" w:space="0" w:color="auto"/>
        <w:right w:val="none" w:sz="0" w:space="0" w:color="auto"/>
      </w:divBdr>
    </w:div>
    <w:div w:id="1770005877">
      <w:bodyDiv w:val="1"/>
      <w:marLeft w:val="0"/>
      <w:marRight w:val="0"/>
      <w:marTop w:val="0"/>
      <w:marBottom w:val="0"/>
      <w:divBdr>
        <w:top w:val="none" w:sz="0" w:space="0" w:color="auto"/>
        <w:left w:val="none" w:sz="0" w:space="0" w:color="auto"/>
        <w:bottom w:val="none" w:sz="0" w:space="0" w:color="auto"/>
        <w:right w:val="none" w:sz="0" w:space="0" w:color="auto"/>
      </w:divBdr>
    </w:div>
    <w:div w:id="1773697762">
      <w:bodyDiv w:val="1"/>
      <w:marLeft w:val="0"/>
      <w:marRight w:val="0"/>
      <w:marTop w:val="0"/>
      <w:marBottom w:val="0"/>
      <w:divBdr>
        <w:top w:val="none" w:sz="0" w:space="0" w:color="auto"/>
        <w:left w:val="none" w:sz="0" w:space="0" w:color="auto"/>
        <w:bottom w:val="none" w:sz="0" w:space="0" w:color="auto"/>
        <w:right w:val="none" w:sz="0" w:space="0" w:color="auto"/>
      </w:divBdr>
    </w:div>
    <w:div w:id="1778787210">
      <w:bodyDiv w:val="1"/>
      <w:marLeft w:val="0"/>
      <w:marRight w:val="0"/>
      <w:marTop w:val="0"/>
      <w:marBottom w:val="0"/>
      <w:divBdr>
        <w:top w:val="none" w:sz="0" w:space="0" w:color="auto"/>
        <w:left w:val="none" w:sz="0" w:space="0" w:color="auto"/>
        <w:bottom w:val="none" w:sz="0" w:space="0" w:color="auto"/>
        <w:right w:val="none" w:sz="0" w:space="0" w:color="auto"/>
      </w:divBdr>
    </w:div>
    <w:div w:id="1784764695">
      <w:bodyDiv w:val="1"/>
      <w:marLeft w:val="0"/>
      <w:marRight w:val="0"/>
      <w:marTop w:val="0"/>
      <w:marBottom w:val="0"/>
      <w:divBdr>
        <w:top w:val="none" w:sz="0" w:space="0" w:color="auto"/>
        <w:left w:val="none" w:sz="0" w:space="0" w:color="auto"/>
        <w:bottom w:val="none" w:sz="0" w:space="0" w:color="auto"/>
        <w:right w:val="none" w:sz="0" w:space="0" w:color="auto"/>
      </w:divBdr>
    </w:div>
    <w:div w:id="1799181906">
      <w:bodyDiv w:val="1"/>
      <w:marLeft w:val="0"/>
      <w:marRight w:val="0"/>
      <w:marTop w:val="0"/>
      <w:marBottom w:val="0"/>
      <w:divBdr>
        <w:top w:val="none" w:sz="0" w:space="0" w:color="auto"/>
        <w:left w:val="none" w:sz="0" w:space="0" w:color="auto"/>
        <w:bottom w:val="none" w:sz="0" w:space="0" w:color="auto"/>
        <w:right w:val="none" w:sz="0" w:space="0" w:color="auto"/>
      </w:divBdr>
    </w:div>
    <w:div w:id="1802191886">
      <w:bodyDiv w:val="1"/>
      <w:marLeft w:val="0"/>
      <w:marRight w:val="0"/>
      <w:marTop w:val="0"/>
      <w:marBottom w:val="0"/>
      <w:divBdr>
        <w:top w:val="none" w:sz="0" w:space="0" w:color="auto"/>
        <w:left w:val="none" w:sz="0" w:space="0" w:color="auto"/>
        <w:bottom w:val="none" w:sz="0" w:space="0" w:color="auto"/>
        <w:right w:val="none" w:sz="0" w:space="0" w:color="auto"/>
      </w:divBdr>
    </w:div>
    <w:div w:id="1808815956">
      <w:bodyDiv w:val="1"/>
      <w:marLeft w:val="0"/>
      <w:marRight w:val="0"/>
      <w:marTop w:val="0"/>
      <w:marBottom w:val="0"/>
      <w:divBdr>
        <w:top w:val="none" w:sz="0" w:space="0" w:color="auto"/>
        <w:left w:val="none" w:sz="0" w:space="0" w:color="auto"/>
        <w:bottom w:val="none" w:sz="0" w:space="0" w:color="auto"/>
        <w:right w:val="none" w:sz="0" w:space="0" w:color="auto"/>
      </w:divBdr>
    </w:div>
    <w:div w:id="1812819147">
      <w:bodyDiv w:val="1"/>
      <w:marLeft w:val="0"/>
      <w:marRight w:val="0"/>
      <w:marTop w:val="0"/>
      <w:marBottom w:val="0"/>
      <w:divBdr>
        <w:top w:val="none" w:sz="0" w:space="0" w:color="auto"/>
        <w:left w:val="none" w:sz="0" w:space="0" w:color="auto"/>
        <w:bottom w:val="none" w:sz="0" w:space="0" w:color="auto"/>
        <w:right w:val="none" w:sz="0" w:space="0" w:color="auto"/>
      </w:divBdr>
    </w:div>
    <w:div w:id="1814517677">
      <w:bodyDiv w:val="1"/>
      <w:marLeft w:val="0"/>
      <w:marRight w:val="0"/>
      <w:marTop w:val="0"/>
      <w:marBottom w:val="0"/>
      <w:divBdr>
        <w:top w:val="none" w:sz="0" w:space="0" w:color="auto"/>
        <w:left w:val="none" w:sz="0" w:space="0" w:color="auto"/>
        <w:bottom w:val="none" w:sz="0" w:space="0" w:color="auto"/>
        <w:right w:val="none" w:sz="0" w:space="0" w:color="auto"/>
      </w:divBdr>
    </w:div>
    <w:div w:id="1816335272">
      <w:bodyDiv w:val="1"/>
      <w:marLeft w:val="0"/>
      <w:marRight w:val="0"/>
      <w:marTop w:val="0"/>
      <w:marBottom w:val="0"/>
      <w:divBdr>
        <w:top w:val="none" w:sz="0" w:space="0" w:color="auto"/>
        <w:left w:val="none" w:sz="0" w:space="0" w:color="auto"/>
        <w:bottom w:val="none" w:sz="0" w:space="0" w:color="auto"/>
        <w:right w:val="none" w:sz="0" w:space="0" w:color="auto"/>
      </w:divBdr>
    </w:div>
    <w:div w:id="1829007369">
      <w:bodyDiv w:val="1"/>
      <w:marLeft w:val="0"/>
      <w:marRight w:val="0"/>
      <w:marTop w:val="0"/>
      <w:marBottom w:val="0"/>
      <w:divBdr>
        <w:top w:val="none" w:sz="0" w:space="0" w:color="auto"/>
        <w:left w:val="none" w:sz="0" w:space="0" w:color="auto"/>
        <w:bottom w:val="none" w:sz="0" w:space="0" w:color="auto"/>
        <w:right w:val="none" w:sz="0" w:space="0" w:color="auto"/>
      </w:divBdr>
    </w:div>
    <w:div w:id="1851138820">
      <w:bodyDiv w:val="1"/>
      <w:marLeft w:val="0"/>
      <w:marRight w:val="0"/>
      <w:marTop w:val="0"/>
      <w:marBottom w:val="0"/>
      <w:divBdr>
        <w:top w:val="none" w:sz="0" w:space="0" w:color="auto"/>
        <w:left w:val="none" w:sz="0" w:space="0" w:color="auto"/>
        <w:bottom w:val="none" w:sz="0" w:space="0" w:color="auto"/>
        <w:right w:val="none" w:sz="0" w:space="0" w:color="auto"/>
      </w:divBdr>
    </w:div>
    <w:div w:id="1863200540">
      <w:bodyDiv w:val="1"/>
      <w:marLeft w:val="0"/>
      <w:marRight w:val="0"/>
      <w:marTop w:val="0"/>
      <w:marBottom w:val="0"/>
      <w:divBdr>
        <w:top w:val="none" w:sz="0" w:space="0" w:color="auto"/>
        <w:left w:val="none" w:sz="0" w:space="0" w:color="auto"/>
        <w:bottom w:val="none" w:sz="0" w:space="0" w:color="auto"/>
        <w:right w:val="none" w:sz="0" w:space="0" w:color="auto"/>
      </w:divBdr>
    </w:div>
    <w:div w:id="1873496021">
      <w:bodyDiv w:val="1"/>
      <w:marLeft w:val="0"/>
      <w:marRight w:val="0"/>
      <w:marTop w:val="0"/>
      <w:marBottom w:val="0"/>
      <w:divBdr>
        <w:top w:val="none" w:sz="0" w:space="0" w:color="auto"/>
        <w:left w:val="none" w:sz="0" w:space="0" w:color="auto"/>
        <w:bottom w:val="none" w:sz="0" w:space="0" w:color="auto"/>
        <w:right w:val="none" w:sz="0" w:space="0" w:color="auto"/>
      </w:divBdr>
    </w:div>
    <w:div w:id="1887987413">
      <w:bodyDiv w:val="1"/>
      <w:marLeft w:val="0"/>
      <w:marRight w:val="0"/>
      <w:marTop w:val="0"/>
      <w:marBottom w:val="0"/>
      <w:divBdr>
        <w:top w:val="none" w:sz="0" w:space="0" w:color="auto"/>
        <w:left w:val="none" w:sz="0" w:space="0" w:color="auto"/>
        <w:bottom w:val="none" w:sz="0" w:space="0" w:color="auto"/>
        <w:right w:val="none" w:sz="0" w:space="0" w:color="auto"/>
      </w:divBdr>
    </w:div>
    <w:div w:id="1903297867">
      <w:bodyDiv w:val="1"/>
      <w:marLeft w:val="0"/>
      <w:marRight w:val="0"/>
      <w:marTop w:val="0"/>
      <w:marBottom w:val="0"/>
      <w:divBdr>
        <w:top w:val="none" w:sz="0" w:space="0" w:color="auto"/>
        <w:left w:val="none" w:sz="0" w:space="0" w:color="auto"/>
        <w:bottom w:val="none" w:sz="0" w:space="0" w:color="auto"/>
        <w:right w:val="none" w:sz="0" w:space="0" w:color="auto"/>
      </w:divBdr>
    </w:div>
    <w:div w:id="1904758524">
      <w:bodyDiv w:val="1"/>
      <w:marLeft w:val="0"/>
      <w:marRight w:val="0"/>
      <w:marTop w:val="0"/>
      <w:marBottom w:val="0"/>
      <w:divBdr>
        <w:top w:val="none" w:sz="0" w:space="0" w:color="auto"/>
        <w:left w:val="none" w:sz="0" w:space="0" w:color="auto"/>
        <w:bottom w:val="none" w:sz="0" w:space="0" w:color="auto"/>
        <w:right w:val="none" w:sz="0" w:space="0" w:color="auto"/>
      </w:divBdr>
    </w:div>
    <w:div w:id="1904948013">
      <w:bodyDiv w:val="1"/>
      <w:marLeft w:val="0"/>
      <w:marRight w:val="0"/>
      <w:marTop w:val="0"/>
      <w:marBottom w:val="0"/>
      <w:divBdr>
        <w:top w:val="none" w:sz="0" w:space="0" w:color="auto"/>
        <w:left w:val="none" w:sz="0" w:space="0" w:color="auto"/>
        <w:bottom w:val="none" w:sz="0" w:space="0" w:color="auto"/>
        <w:right w:val="none" w:sz="0" w:space="0" w:color="auto"/>
      </w:divBdr>
    </w:div>
    <w:div w:id="1910800025">
      <w:bodyDiv w:val="1"/>
      <w:marLeft w:val="0"/>
      <w:marRight w:val="0"/>
      <w:marTop w:val="0"/>
      <w:marBottom w:val="0"/>
      <w:divBdr>
        <w:top w:val="none" w:sz="0" w:space="0" w:color="auto"/>
        <w:left w:val="none" w:sz="0" w:space="0" w:color="auto"/>
        <w:bottom w:val="none" w:sz="0" w:space="0" w:color="auto"/>
        <w:right w:val="none" w:sz="0" w:space="0" w:color="auto"/>
      </w:divBdr>
    </w:div>
    <w:div w:id="1922447667">
      <w:bodyDiv w:val="1"/>
      <w:marLeft w:val="0"/>
      <w:marRight w:val="0"/>
      <w:marTop w:val="0"/>
      <w:marBottom w:val="0"/>
      <w:divBdr>
        <w:top w:val="none" w:sz="0" w:space="0" w:color="auto"/>
        <w:left w:val="none" w:sz="0" w:space="0" w:color="auto"/>
        <w:bottom w:val="none" w:sz="0" w:space="0" w:color="auto"/>
        <w:right w:val="none" w:sz="0" w:space="0" w:color="auto"/>
      </w:divBdr>
    </w:div>
    <w:div w:id="1927229524">
      <w:bodyDiv w:val="1"/>
      <w:marLeft w:val="0"/>
      <w:marRight w:val="0"/>
      <w:marTop w:val="0"/>
      <w:marBottom w:val="0"/>
      <w:divBdr>
        <w:top w:val="none" w:sz="0" w:space="0" w:color="auto"/>
        <w:left w:val="none" w:sz="0" w:space="0" w:color="auto"/>
        <w:bottom w:val="none" w:sz="0" w:space="0" w:color="auto"/>
        <w:right w:val="none" w:sz="0" w:space="0" w:color="auto"/>
      </w:divBdr>
    </w:div>
    <w:div w:id="1991443331">
      <w:bodyDiv w:val="1"/>
      <w:marLeft w:val="0"/>
      <w:marRight w:val="0"/>
      <w:marTop w:val="0"/>
      <w:marBottom w:val="0"/>
      <w:divBdr>
        <w:top w:val="none" w:sz="0" w:space="0" w:color="auto"/>
        <w:left w:val="none" w:sz="0" w:space="0" w:color="auto"/>
        <w:bottom w:val="none" w:sz="0" w:space="0" w:color="auto"/>
        <w:right w:val="none" w:sz="0" w:space="0" w:color="auto"/>
      </w:divBdr>
    </w:div>
    <w:div w:id="2002544665">
      <w:bodyDiv w:val="1"/>
      <w:marLeft w:val="0"/>
      <w:marRight w:val="0"/>
      <w:marTop w:val="0"/>
      <w:marBottom w:val="0"/>
      <w:divBdr>
        <w:top w:val="none" w:sz="0" w:space="0" w:color="auto"/>
        <w:left w:val="none" w:sz="0" w:space="0" w:color="auto"/>
        <w:bottom w:val="none" w:sz="0" w:space="0" w:color="auto"/>
        <w:right w:val="none" w:sz="0" w:space="0" w:color="auto"/>
      </w:divBdr>
    </w:div>
    <w:div w:id="2016834896">
      <w:bodyDiv w:val="1"/>
      <w:marLeft w:val="0"/>
      <w:marRight w:val="0"/>
      <w:marTop w:val="0"/>
      <w:marBottom w:val="0"/>
      <w:divBdr>
        <w:top w:val="none" w:sz="0" w:space="0" w:color="auto"/>
        <w:left w:val="none" w:sz="0" w:space="0" w:color="auto"/>
        <w:bottom w:val="none" w:sz="0" w:space="0" w:color="auto"/>
        <w:right w:val="none" w:sz="0" w:space="0" w:color="auto"/>
      </w:divBdr>
    </w:div>
    <w:div w:id="2024236326">
      <w:bodyDiv w:val="1"/>
      <w:marLeft w:val="0"/>
      <w:marRight w:val="0"/>
      <w:marTop w:val="0"/>
      <w:marBottom w:val="0"/>
      <w:divBdr>
        <w:top w:val="none" w:sz="0" w:space="0" w:color="auto"/>
        <w:left w:val="none" w:sz="0" w:space="0" w:color="auto"/>
        <w:bottom w:val="none" w:sz="0" w:space="0" w:color="auto"/>
        <w:right w:val="none" w:sz="0" w:space="0" w:color="auto"/>
      </w:divBdr>
    </w:div>
    <w:div w:id="2052881979">
      <w:bodyDiv w:val="1"/>
      <w:marLeft w:val="0"/>
      <w:marRight w:val="0"/>
      <w:marTop w:val="0"/>
      <w:marBottom w:val="0"/>
      <w:divBdr>
        <w:top w:val="none" w:sz="0" w:space="0" w:color="auto"/>
        <w:left w:val="none" w:sz="0" w:space="0" w:color="auto"/>
        <w:bottom w:val="none" w:sz="0" w:space="0" w:color="auto"/>
        <w:right w:val="none" w:sz="0" w:space="0" w:color="auto"/>
      </w:divBdr>
    </w:div>
    <w:div w:id="2054577071">
      <w:bodyDiv w:val="1"/>
      <w:marLeft w:val="0"/>
      <w:marRight w:val="0"/>
      <w:marTop w:val="0"/>
      <w:marBottom w:val="0"/>
      <w:divBdr>
        <w:top w:val="none" w:sz="0" w:space="0" w:color="auto"/>
        <w:left w:val="none" w:sz="0" w:space="0" w:color="auto"/>
        <w:bottom w:val="none" w:sz="0" w:space="0" w:color="auto"/>
        <w:right w:val="none" w:sz="0" w:space="0" w:color="auto"/>
      </w:divBdr>
    </w:div>
    <w:div w:id="2077052350">
      <w:bodyDiv w:val="1"/>
      <w:marLeft w:val="0"/>
      <w:marRight w:val="0"/>
      <w:marTop w:val="0"/>
      <w:marBottom w:val="0"/>
      <w:divBdr>
        <w:top w:val="none" w:sz="0" w:space="0" w:color="auto"/>
        <w:left w:val="none" w:sz="0" w:space="0" w:color="auto"/>
        <w:bottom w:val="none" w:sz="0" w:space="0" w:color="auto"/>
        <w:right w:val="none" w:sz="0" w:space="0" w:color="auto"/>
      </w:divBdr>
    </w:div>
    <w:div w:id="2077429598">
      <w:bodyDiv w:val="1"/>
      <w:marLeft w:val="0"/>
      <w:marRight w:val="0"/>
      <w:marTop w:val="0"/>
      <w:marBottom w:val="0"/>
      <w:divBdr>
        <w:top w:val="none" w:sz="0" w:space="0" w:color="auto"/>
        <w:left w:val="none" w:sz="0" w:space="0" w:color="auto"/>
        <w:bottom w:val="none" w:sz="0" w:space="0" w:color="auto"/>
        <w:right w:val="none" w:sz="0" w:space="0" w:color="auto"/>
      </w:divBdr>
    </w:div>
    <w:div w:id="2092434274">
      <w:bodyDiv w:val="1"/>
      <w:marLeft w:val="0"/>
      <w:marRight w:val="0"/>
      <w:marTop w:val="0"/>
      <w:marBottom w:val="0"/>
      <w:divBdr>
        <w:top w:val="none" w:sz="0" w:space="0" w:color="auto"/>
        <w:left w:val="none" w:sz="0" w:space="0" w:color="auto"/>
        <w:bottom w:val="none" w:sz="0" w:space="0" w:color="auto"/>
        <w:right w:val="none" w:sz="0" w:space="0" w:color="auto"/>
      </w:divBdr>
    </w:div>
    <w:div w:id="2099322530">
      <w:bodyDiv w:val="1"/>
      <w:marLeft w:val="0"/>
      <w:marRight w:val="0"/>
      <w:marTop w:val="0"/>
      <w:marBottom w:val="0"/>
      <w:divBdr>
        <w:top w:val="none" w:sz="0" w:space="0" w:color="auto"/>
        <w:left w:val="none" w:sz="0" w:space="0" w:color="auto"/>
        <w:bottom w:val="none" w:sz="0" w:space="0" w:color="auto"/>
        <w:right w:val="none" w:sz="0" w:space="0" w:color="auto"/>
      </w:divBdr>
    </w:div>
    <w:div w:id="2119828821">
      <w:bodyDiv w:val="1"/>
      <w:marLeft w:val="0"/>
      <w:marRight w:val="0"/>
      <w:marTop w:val="0"/>
      <w:marBottom w:val="0"/>
      <w:divBdr>
        <w:top w:val="none" w:sz="0" w:space="0" w:color="auto"/>
        <w:left w:val="none" w:sz="0" w:space="0" w:color="auto"/>
        <w:bottom w:val="none" w:sz="0" w:space="0" w:color="auto"/>
        <w:right w:val="none" w:sz="0" w:space="0" w:color="auto"/>
      </w:divBdr>
    </w:div>
    <w:div w:id="2130933152">
      <w:bodyDiv w:val="1"/>
      <w:marLeft w:val="0"/>
      <w:marRight w:val="0"/>
      <w:marTop w:val="0"/>
      <w:marBottom w:val="0"/>
      <w:divBdr>
        <w:top w:val="none" w:sz="0" w:space="0" w:color="auto"/>
        <w:left w:val="none" w:sz="0" w:space="0" w:color="auto"/>
        <w:bottom w:val="none" w:sz="0" w:space="0" w:color="auto"/>
        <w:right w:val="none" w:sz="0" w:space="0" w:color="auto"/>
      </w:divBdr>
    </w:div>
    <w:div w:id="21391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image005.png@01D2D93E.00EE1B50" TargetMode="External"/><Relationship Id="rId26" Type="http://schemas.openxmlformats.org/officeDocument/2006/relationships/image" Target="media/image9.png"/><Relationship Id="rId39" Type="http://schemas.openxmlformats.org/officeDocument/2006/relationships/hyperlink" Target="http://www.anao.gov.au/work/performance-audit/emissions-reduction-fund-abatement-crediting-and-purchasing" TargetMode="Externa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hyperlink" Target="http://www.marketplace.carbonmarketinstitute.org" TargetMode="External"/><Relationship Id="rId47" Type="http://schemas.openxmlformats.org/officeDocument/2006/relationships/hyperlink" Target="http://www.cleanenergyregulator.gov.au/Infohub/CPM/Liable-Entities-Public-Information-Database" TargetMode="External"/><Relationship Id="rId50" Type="http://schemas.openxmlformats.org/officeDocument/2006/relationships/hyperlink" Target="http://www.cleanenergyregulator.gov.au/ERF/Auctions-results/November-2016" TargetMode="External"/><Relationship Id="rId55" Type="http://schemas.openxmlformats.org/officeDocument/2006/relationships/hyperlink" Target="http://www.cleanenergyregulator.gov.au/ERF/Auctions-results/april-2017" TargetMode="External"/><Relationship Id="rId63" Type="http://schemas.openxmlformats.org/officeDocument/2006/relationships/hyperlink" Target="http://www.environment.gov.au/biodiversity/invasive/weeds/weeds/lists/wons.html" TargetMode="External"/><Relationship Id="rId68" Type="http://schemas.openxmlformats.org/officeDocument/2006/relationships/hyperlink" Target="http://www.environment.gov.au/minister/frydenberg/media-releases/mr20171009.html" TargetMode="External"/><Relationship Id="rId76" Type="http://schemas.openxmlformats.org/officeDocument/2006/relationships/hyperlink" Target="http://www.icroa.org/The-ICROA-Code-of-Best-Practice" TargetMode="External"/><Relationship Id="rId84" Type="http://schemas.openxmlformats.org/officeDocument/2006/relationships/hyperlink" Target="http://www.vcsprojectdatabase.org/" TargetMode="External"/><Relationship Id="rId89" Type="http://schemas.microsoft.com/office/2016/09/relationships/commentsIds" Target="commentsIds.xml"/><Relationship Id="rId7" Type="http://schemas.openxmlformats.org/officeDocument/2006/relationships/numbering" Target="numbering.xml"/><Relationship Id="rId71" Type="http://schemas.openxmlformats.org/officeDocument/2006/relationships/hyperlink" Target="http://www.environment.gov.au/climate-change/emissions-reduction-fund/methods/method-development"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yperlink" Target="http://www.anao.gov.au/sites/g/files/net3241/f/ANAO_Report_2017-2018_7.pdf" TargetMode="External"/><Relationship Id="rId45" Type="http://schemas.openxmlformats.org/officeDocument/2006/relationships/hyperlink" Target="http://www.cleanenergyregulator.gov.au/ERF/Auctions-results/November-2015" TargetMode="External"/><Relationship Id="rId53" Type="http://schemas.openxmlformats.org/officeDocument/2006/relationships/hyperlink" Target="http://www.cleanenergyregulator.gov.au/ERF/Want-to-participate-in-the-EmissionsReduction-Fund/Planning-a-project/regulatory-additionality-and-government-programs" TargetMode="External"/><Relationship Id="rId58" Type="http://schemas.openxmlformats.org/officeDocument/2006/relationships/hyperlink" Target="http://www.cleanenergyregulator.gov.au/ERF/Want-to-participate-in-the-Emissions-Reduction-Fund/Step-2-Contracts-and-auctions/contract-duration" TargetMode="External"/><Relationship Id="rId66" Type="http://schemas.openxmlformats.org/officeDocument/2006/relationships/hyperlink" Target="http://www.environment.gov.au/climate-change/review-climate-change-policies" TargetMode="External"/><Relationship Id="rId74" Type="http://schemas.openxmlformats.org/officeDocument/2006/relationships/hyperlink" Target="http://www.theice.com/products/814666/CER-Futures/data" TargetMode="External"/><Relationship Id="rId79" Type="http://schemas.openxmlformats.org/officeDocument/2006/relationships/hyperlink" Target="http://www.western.lls.nsw.gov.au/__data/assets/pdf_file/0009/684963/Updated-DustWatch-Network-and-Roadside-Survey.pdf"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nationalregistry.cleanenergyregulator.gov.au" TargetMode="External"/><Relationship Id="rId82" Type="http://schemas.openxmlformats.org/officeDocument/2006/relationships/hyperlink" Target="http://www.theguardian.com/environment/2015/may/01/greg-hunt-660m-spent-reducing-greenhouse-emissions"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 TargetMode="External"/><Relationship Id="rId22" Type="http://schemas.openxmlformats.org/officeDocument/2006/relationships/hyperlink" Target="http://www.climatechangeauthority.gov.au/consultations" TargetMode="External"/><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hyperlink" Target="http://www.climatechangeauthority.gov.au/submissions" TargetMode="External"/><Relationship Id="rId43" Type="http://schemas.openxmlformats.org/officeDocument/2006/relationships/hyperlink" Target="http://www.carbonmarketinstitute.org/wp-content/uploads/2017/11/Carbon-Farming-Industry-Roadmap.pdf" TargetMode="External"/><Relationship Id="rId48" Type="http://schemas.openxmlformats.org/officeDocument/2006/relationships/hyperlink" Target="http://www.cleanenergyregulator.gov.au/ERF/Pages/News%20and%20updates/Newsitem.aspx?ListId=19b4efbb-6f5d-4637-94c4-121c1f96fcfe&amp;ItemId=159" TargetMode="External"/><Relationship Id="rId56" Type="http://schemas.openxmlformats.org/officeDocument/2006/relationships/hyperlink" Target="http://www.cleanenergyregulator.gov.au/About/Policies-and-publications/Compliance-educationand-enforcement-policy" TargetMode="External"/><Relationship Id="rId64" Type="http://schemas.openxmlformats.org/officeDocument/2006/relationships/hyperlink" Target="http://www.environment.gov.au/system/files/resources/c4762a93-bde4-444e-9980-f508460472cd/files/regulatory-baseline-guidelines.pdf" TargetMode="External"/><Relationship Id="rId69" Type="http://schemas.openxmlformats.org/officeDocument/2006/relationships/hyperlink" Target="http://www.environment.gov.au/climate-change/government/emissions-reduction-fund/methods/draft-methods" TargetMode="External"/><Relationship Id="rId77" Type="http://schemas.openxmlformats.org/officeDocument/2006/relationships/hyperlink" Target="http://www.icao.int/environmental-protection/Pages/A39_CORSIA_FAQ3.aspx" TargetMode="External"/><Relationship Id="rId8" Type="http://schemas.openxmlformats.org/officeDocument/2006/relationships/styles" Target="styles.xml"/><Relationship Id="rId51" Type="http://schemas.openxmlformats.org/officeDocument/2006/relationships/hyperlink" Target="http://www.cleanenergyregulator.gov.au/DocumentAssets/Documents/Make%20sure%20your%20timing%20is%20right%20information%20sheet.pdf" TargetMode="External"/><Relationship Id="rId72" Type="http://schemas.openxmlformats.org/officeDocument/2006/relationships/hyperlink" Target="http://www.environment.gov.au/climate-change/government/emissions-reduction-fund/methods/plantation-forestry" TargetMode="External"/><Relationship Id="rId80" Type="http://schemas.openxmlformats.org/officeDocument/2006/relationships/hyperlink" Target="http://www.mla.com.au/news-and-events/industry-news/red-meat-industry-can-be-carbon-neutral-by-2030" TargetMode="External"/><Relationship Id="rId85" Type="http://schemas.openxmlformats.org/officeDocument/2006/relationships/hyperlink" Target="http://www.austrangesoc.com.au/data/ARSC2017/2017_Conference_Papers/Waters_et_al_Paper_26.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gif"/><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yperlink" Target="http://www.auasb.gov.au/Pronouncements/Australian-Auditing-Standards.aspx" TargetMode="External"/><Relationship Id="rId46" Type="http://schemas.openxmlformats.org/officeDocument/2006/relationships/hyperlink" Target="http://www.cleanenergyregulator.gov.au/OSR/ANREU/types-of-emissions-units/australian-carbon-credit-units" TargetMode="External"/><Relationship Id="rId59" Type="http://schemas.openxmlformats.org/officeDocument/2006/relationships/hyperlink" Target="http://www.cleanenergyregulator.gov.au/DocumentAssets/Documents/Guidelines%20for%20the%20sixth%20ERF%20auction.pdf" TargetMode="External"/><Relationship Id="rId67" Type="http://schemas.openxmlformats.org/officeDocument/2006/relationships/hyperlink" Target="http://www.energy.gov.au/government-priorities/better-energy-future-australia" TargetMode="External"/><Relationship Id="rId20" Type="http://schemas.openxmlformats.org/officeDocument/2006/relationships/header" Target="header2.xml"/><Relationship Id="rId41" Type="http://schemas.openxmlformats.org/officeDocument/2006/relationships/hyperlink" Target="http://www.greeninstitute.org.au/wp-content/uploads/2016/11/Mulga_Bill_Web_BM.pdf" TargetMode="External"/><Relationship Id="rId54" Type="http://schemas.openxmlformats.org/officeDocument/2006/relationships/hyperlink" Target="http://www.cleanenergyregulator.gov.au/RET/About-the-Renewable-Energy-Target" TargetMode="External"/><Relationship Id="rId62" Type="http://schemas.openxmlformats.org/officeDocument/2006/relationships/hyperlink" Target="http://www.cottoninfo.com.au/sites/default/files/documents/Carbon%20farming%20case%20study.pdf" TargetMode="External"/><Relationship Id="rId70" Type="http://schemas.openxmlformats.org/officeDocument/2006/relationships/hyperlink" Target="http://www.environment.gov.au/climate-change/government/emissions-reduction-fund/aggregation-agreement" TargetMode="External"/><Relationship Id="rId75" Type="http://schemas.openxmlformats.org/officeDocument/2006/relationships/hyperlink" Target="http://www.theice.com/products/197/EUA-Futures/data" TargetMode="External"/><Relationship Id="rId83" Type="http://schemas.openxmlformats.org/officeDocument/2006/relationships/hyperlink" Target="http://www.cdm.unfccc.int/Statistics/Public/CDMinsights/index.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hyperlink" Target="http://www.cleanenergyregulator.gov.au/ERF/Auctions-results/April-2016" TargetMode="External"/><Relationship Id="rId57" Type="http://schemas.openxmlformats.org/officeDocument/2006/relationships/hyperlink" Target="http://www.cleanenergyregulator.gov.au/ERF/Want-to-participate-in-the-Emissions-Reduction-Fund/Step-2-Contracts-and-auctions/auction-qualification/conditions-precedent"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hyperlink" Target="http://www.cleanenergyregulator.gov.au/ERF/Auctions-results/april-2015" TargetMode="External"/><Relationship Id="rId52" Type="http://schemas.openxmlformats.org/officeDocument/2006/relationships/hyperlink" Target="http://www.cleanenergyregulator.gov.au/ERF/Want-to-participate-in-the-Emissions-ReductionFund/Step-2-Contracts-and-auctions/market-sounding-direct-abatement-offers" TargetMode="External"/><Relationship Id="rId60" Type="http://schemas.openxmlformats.org/officeDocument/2006/relationships/hyperlink" Target="http://www.cleanenergyregulator.gov.au/DocumentAssets/Documents/Interim%20posture%20on%20crediting%20for%20NFMR%20and%20HIR%20projects.pdf" TargetMode="External"/><Relationship Id="rId65" Type="http://schemas.openxmlformats.org/officeDocument/2006/relationships/hyperlink" Target="http://www.pmc.gov.au/indigenous-affairs/environment" TargetMode="External"/><Relationship Id="rId73" Type="http://schemas.openxmlformats.org/officeDocument/2006/relationships/hyperlink" Target="http://www.ggas-registry.nsw.gov.au/general/MainPage.aspx" TargetMode="External"/><Relationship Id="rId78" Type="http://schemas.openxmlformats.org/officeDocument/2006/relationships/hyperlink" Target="http://www.global.krx.co.kr/contents/GLB/05/0506/0506030102/GLB0506030102.jsp" TargetMode="External"/><Relationship Id="rId81" Type="http://schemas.openxmlformats.org/officeDocument/2006/relationships/hyperlink" Target="http://www.abc.net.au/news/2017-10-17/business-backs-national-energy-guarantee/9059844" TargetMode="External"/><Relationship Id="rId86"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documentManagement>
    <Approval xmlns="e0c1e391-29fd-4ceb-82b5-dfc916cb1980" xsi:nil="true"/>
    <IconOverlay xmlns="http://schemas.microsoft.com/sharepoint/v4" xsi:nil="true"/>
    <Function xmlns="e0c1e391-29fd-4ceb-82b5-dfc916cb1980">Climate Change</Function>
    <RecordNumber xmlns="e0c1e391-29fd-4ceb-82b5-dfc916cb1980">002060369</RecordNumber>
    <DocumentDescription xmlns="e0c1e391-29fd-4ceb-82b5-dfc916cb1980">This version includes approved changes from Wendy on 20/11/17 following revisions post Nov Board meeting. This is the version to fact check, make style guide changes to and reference. It will be sent for fact-checking. </DocumentDescription>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SPIRE Document" ma:contentTypeID="0x010100E2EA31D43EB7EC4B8C44239A8E4A9E6D003610C53E71299A45B5DE0EC6FB5334E3" ma:contentTypeVersion="5" ma:contentTypeDescription="SPIRE Document" ma:contentTypeScope="" ma:versionID="828f7dab9b0ba095afb0d2948ed14ad2">
  <xsd:schema xmlns:xsd="http://www.w3.org/2001/XMLSchema" xmlns:xs="http://www.w3.org/2001/XMLSchema" xmlns:p="http://schemas.microsoft.com/office/2006/metadata/properties" xmlns:ns2="e0c1e391-29fd-4ceb-82b5-dfc916cb1980" xmlns:ns3="http://schemas.microsoft.com/sharepoint/v4" targetNamespace="http://schemas.microsoft.com/office/2006/metadata/properties" ma:root="true" ma:fieldsID="0d3ce933d6738589a9bfc1718438db6a" ns2:_="" ns3:_="">
    <xsd:import namespace="e0c1e391-29fd-4ceb-82b5-dfc916cb1980"/>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1e391-29fd-4ceb-82b5-dfc916cb1980"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Climate Change"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FA7B1-04AB-4FF9-BC8F-0DF80ABBAE74}">
  <ds:schemaRefs>
    <ds:schemaRef ds:uri="http://schemas.microsoft.com/sharepoint/events"/>
  </ds:schemaRefs>
</ds:datastoreItem>
</file>

<file path=customXml/itemProps2.xml><?xml version="1.0" encoding="utf-8"?>
<ds:datastoreItem xmlns:ds="http://schemas.openxmlformats.org/officeDocument/2006/customXml" ds:itemID="{9BAD3DB7-147D-407B-B034-A63C38F3EB9D}">
  <ds:schemaRefs>
    <ds:schemaRef ds:uri="http://purl.org/dc/elements/1.1/"/>
    <ds:schemaRef ds:uri="http://schemas.microsoft.com/office/2006/metadata/properties"/>
    <ds:schemaRef ds:uri="http://purl.org/dc/dcmitype/"/>
    <ds:schemaRef ds:uri="http://www.w3.org/XML/1998/namespace"/>
    <ds:schemaRef ds:uri="e0c1e391-29fd-4ceb-82b5-dfc916cb1980"/>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5B81A460-3679-4D17-BB21-AFB1037DB2FF}">
  <ds:schemaRefs>
    <ds:schemaRef ds:uri="http://schemas.microsoft.com/office/2006/metadata/customXsn"/>
  </ds:schemaRefs>
</ds:datastoreItem>
</file>

<file path=customXml/itemProps4.xml><?xml version="1.0" encoding="utf-8"?>
<ds:datastoreItem xmlns:ds="http://schemas.openxmlformats.org/officeDocument/2006/customXml" ds:itemID="{89FDDEDC-C372-4912-8983-EE7C86C3D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1e391-29fd-4ceb-82b5-dfc916cb198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6.xml><?xml version="1.0" encoding="utf-8"?>
<ds:datastoreItem xmlns:ds="http://schemas.openxmlformats.org/officeDocument/2006/customXml" ds:itemID="{5B68824C-6B3D-4837-952A-D36B8542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4393CC9D.dotm</Template>
  <TotalTime>7</TotalTime>
  <Pages>120</Pages>
  <Words>50177</Words>
  <Characters>286013</Characters>
  <Application>Microsoft Office Word</Application>
  <DocSecurity>0</DocSecurity>
  <Lines>2383</Lines>
  <Paragraphs>671</Paragraphs>
  <ScaleCrop>false</ScaleCrop>
  <HeadingPairs>
    <vt:vector size="2" baseType="variant">
      <vt:variant>
        <vt:lpstr>Title</vt:lpstr>
      </vt:variant>
      <vt:variant>
        <vt:i4>1</vt:i4>
      </vt:variant>
    </vt:vector>
  </HeadingPairs>
  <TitlesOfParts>
    <vt:vector size="1" baseType="lpstr">
      <vt:lpstr>ERF Review Report</vt:lpstr>
    </vt:vector>
  </TitlesOfParts>
  <Company>The Department of the Environment</Company>
  <LinksUpToDate>false</LinksUpToDate>
  <CharactersWithSpaces>335519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 Review Report</dc:title>
  <dc:subject/>
  <dc:creator>Brine, Steven</dc:creator>
  <cp:keywords/>
  <dc:description/>
  <cp:lastModifiedBy>Brine, Steven</cp:lastModifiedBy>
  <cp:revision>7</cp:revision>
  <cp:lastPrinted>2018-02-21T06:23:00Z</cp:lastPrinted>
  <dcterms:created xsi:type="dcterms:W3CDTF">2018-02-16T01:59:00Z</dcterms:created>
  <dcterms:modified xsi:type="dcterms:W3CDTF">2018-02-21T06:25:00Z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0x010100E2EA31D43EB7EC4B8C44239A8E4A9E6D003610C53E71299A45B5DE0EC6FB5334E3</vt:lpwstr>
  </property>
  <property fmtid="{D5CDD505-2E9C-101B-9397-08002B2CF9AE}" pid="3" name="RecordPoint_WorkflowType">
    <vt:lpwstr>ActiveSubmitStub</vt:lpwstr>
  </property>
  <property fmtid="{D5CDD505-2E9C-101B-9397-08002B2CF9AE}" pid="4" name="RecordPoint_ActiveItemSiteId">
    <vt:lpwstr>{abd38ece-07d8-48b7-85e6-163aea83b37f}</vt:lpwstr>
  </property>
  <property fmtid="{D5CDD505-2E9C-101B-9397-08002B2CF9AE}" pid="5" name="RecordPoint_ActiveItemListId">
    <vt:lpwstr>{4e6a0222-b5f9-446f-8e4a-cbce8b305cac}</vt:lpwstr>
  </property>
  <property fmtid="{D5CDD505-2E9C-101B-9397-08002B2CF9AE}" pid="6" name="RecordPoint_ActiveItemUniqueId">
    <vt:lpwstr>{72cdeb1e-0c51-44d2-b893-2bd2836d0bd1}</vt:lpwstr>
  </property>
  <property fmtid="{D5CDD505-2E9C-101B-9397-08002B2CF9AE}" pid="7" name="RecordPoint_ActiveItemWebId">
    <vt:lpwstr>{e0c1e391-29fd-4ceb-82b5-dfc916cb1980}</vt:lpwstr>
  </property>
  <property fmtid="{D5CDD505-2E9C-101B-9397-08002B2CF9AE}" pid="8" name="RecordPoint_RecordNumberSubmitted">
    <vt:lpwstr>002060369</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2017-12-09T08:09:14.3781964+11:00</vt:lpwstr>
  </property>
</Properties>
</file>